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56B8B5" w14:textId="0D4B3F4F" w:rsidR="00074483" w:rsidRPr="008A08B5" w:rsidRDefault="00074483" w:rsidP="00D85A56">
      <w:pPr>
        <w:spacing w:line="360" w:lineRule="auto"/>
        <w:jc w:val="center"/>
        <w:rPr>
          <w:rFonts w:ascii="Arial" w:hAnsi="Arial" w:cs="Arial"/>
          <w:b/>
          <w:bCs/>
          <w:sz w:val="22"/>
          <w:szCs w:val="22"/>
        </w:rPr>
      </w:pPr>
    </w:p>
    <w:p w14:paraId="3B01DCCD" w14:textId="4A196E73" w:rsidR="00074483" w:rsidRPr="00D85A56" w:rsidRDefault="00074483" w:rsidP="00D85A56">
      <w:pPr>
        <w:spacing w:line="360" w:lineRule="auto"/>
        <w:jc w:val="both"/>
        <w:rPr>
          <w:rFonts w:ascii="Arial" w:hAnsi="Arial" w:cs="Arial"/>
          <w:sz w:val="22"/>
          <w:szCs w:val="22"/>
        </w:rPr>
      </w:pPr>
    </w:p>
    <w:p w14:paraId="1F4FF09A" w14:textId="77777777" w:rsidR="008A08B5" w:rsidRDefault="008A08B5" w:rsidP="008A08B5">
      <w:pPr>
        <w:spacing w:line="276" w:lineRule="auto"/>
        <w:ind w:left="360"/>
        <w:jc w:val="center"/>
        <w:rPr>
          <w:rFonts w:ascii="Arial" w:hAnsi="Arial" w:cs="Arial"/>
          <w:b/>
          <w:bCs/>
          <w:sz w:val="22"/>
          <w:szCs w:val="22"/>
        </w:rPr>
      </w:pPr>
      <w:r w:rsidRPr="008A08B5">
        <w:rPr>
          <w:rFonts w:ascii="Arial" w:hAnsi="Arial" w:cs="Arial"/>
          <w:b/>
          <w:bCs/>
          <w:sz w:val="22"/>
          <w:szCs w:val="22"/>
        </w:rPr>
        <w:t>ENFOQUES TRANSVERSALES Y VARIABLES INTERSECCIONALES PARA LA PLANEACIÓN MINERO-ENERGÉTICA.</w:t>
      </w:r>
    </w:p>
    <w:p w14:paraId="3AEDC939" w14:textId="77777777" w:rsidR="008A08B5" w:rsidRPr="008A08B5" w:rsidRDefault="008A08B5" w:rsidP="008A08B5">
      <w:pPr>
        <w:spacing w:line="276" w:lineRule="auto"/>
        <w:ind w:left="360"/>
        <w:jc w:val="center"/>
        <w:rPr>
          <w:rFonts w:ascii="Arial" w:hAnsi="Arial" w:cs="Arial"/>
          <w:b/>
          <w:bCs/>
          <w:sz w:val="22"/>
          <w:szCs w:val="22"/>
        </w:rPr>
      </w:pPr>
    </w:p>
    <w:p w14:paraId="58CE0236" w14:textId="77777777" w:rsidR="008A08B5" w:rsidRPr="008A08B5" w:rsidRDefault="008A08B5" w:rsidP="008A08B5">
      <w:pPr>
        <w:pStyle w:val="Prrafodelista"/>
        <w:numPr>
          <w:ilvl w:val="0"/>
          <w:numId w:val="86"/>
        </w:numPr>
        <w:spacing w:after="160" w:line="276" w:lineRule="auto"/>
        <w:ind w:left="142" w:firstLine="0"/>
        <w:jc w:val="both"/>
        <w:rPr>
          <w:rFonts w:ascii="Arial" w:hAnsi="Arial" w:cs="Arial"/>
          <w:b/>
          <w:bCs/>
          <w:sz w:val="22"/>
          <w:szCs w:val="22"/>
        </w:rPr>
      </w:pPr>
      <w:r w:rsidRPr="008A08B5">
        <w:rPr>
          <w:rFonts w:ascii="Arial" w:hAnsi="Arial" w:cs="Arial"/>
          <w:b/>
          <w:bCs/>
          <w:sz w:val="22"/>
          <w:szCs w:val="22"/>
        </w:rPr>
        <w:t>INTRODUCCION</w:t>
      </w:r>
    </w:p>
    <w:p w14:paraId="6863CB31" w14:textId="77777777" w:rsidR="008A08B5" w:rsidRDefault="008A08B5" w:rsidP="008A08B5">
      <w:pPr>
        <w:spacing w:line="276" w:lineRule="auto"/>
        <w:ind w:left="142"/>
        <w:jc w:val="both"/>
        <w:rPr>
          <w:rFonts w:ascii="Arial" w:hAnsi="Arial" w:cs="Arial"/>
          <w:sz w:val="22"/>
          <w:szCs w:val="22"/>
        </w:rPr>
      </w:pPr>
    </w:p>
    <w:p w14:paraId="7237A948" w14:textId="4F4D6D38" w:rsidR="008A08B5" w:rsidRDefault="008A08B5" w:rsidP="008A08B5">
      <w:pPr>
        <w:spacing w:line="276" w:lineRule="auto"/>
        <w:ind w:left="142"/>
        <w:jc w:val="both"/>
        <w:rPr>
          <w:rFonts w:ascii="Arial" w:hAnsi="Arial" w:cs="Arial"/>
          <w:sz w:val="22"/>
          <w:szCs w:val="22"/>
        </w:rPr>
      </w:pPr>
      <w:r w:rsidRPr="008A08B5">
        <w:rPr>
          <w:rFonts w:ascii="Arial" w:hAnsi="Arial" w:cs="Arial"/>
          <w:sz w:val="22"/>
          <w:szCs w:val="22"/>
        </w:rPr>
        <w:t>La planificación minero-energética en Colombia demanda instrumentos de análisis que reconozcan la complejidad social, económica y biofísica de los territorios. Tradicionalmente, la planificación del sector ha operado bajo modelos agregados que priorizan variables exclusivamente técnicas o macroeconómicas. Sin embargo, para responder a los mandatos constitucionales y a los lineamientos del Departamento Nacional de Planeación, la Unidad de Planeación Minero Energética adopta una visión holística estructurada mediante enfoques transversales y análisis interseccionales.</w:t>
      </w:r>
    </w:p>
    <w:p w14:paraId="0D250546" w14:textId="77777777" w:rsidR="008A08B5" w:rsidRPr="008A08B5" w:rsidRDefault="008A08B5" w:rsidP="008A08B5">
      <w:pPr>
        <w:spacing w:line="276" w:lineRule="auto"/>
        <w:ind w:left="142"/>
        <w:jc w:val="both"/>
        <w:rPr>
          <w:rFonts w:ascii="Arial" w:hAnsi="Arial" w:cs="Arial"/>
          <w:sz w:val="22"/>
          <w:szCs w:val="22"/>
        </w:rPr>
      </w:pPr>
    </w:p>
    <w:p w14:paraId="5C661CED"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sz w:val="22"/>
          <w:szCs w:val="22"/>
        </w:rPr>
        <w:t xml:space="preserve">Los enfoques transversales constituyen los lentes conceptuales y jurídicos a través de los cuales se evalúa la viabilidad de las políticas, planes y programas sectoriales. Estos enfoques aseguran que la infraestructura de energía y minería no se planifique de manera aislada, sino en estricta armonía con los derechos humanos, la sostenibilidad ecológica y la equidad social. </w:t>
      </w:r>
    </w:p>
    <w:p w14:paraId="46444A08" w14:textId="77777777" w:rsidR="008A08B5" w:rsidRPr="008A08B5" w:rsidRDefault="008A08B5" w:rsidP="008A08B5">
      <w:pPr>
        <w:spacing w:line="276" w:lineRule="auto"/>
        <w:ind w:left="142"/>
        <w:jc w:val="both"/>
        <w:rPr>
          <w:rFonts w:ascii="Arial" w:hAnsi="Arial" w:cs="Arial"/>
          <w:sz w:val="22"/>
          <w:szCs w:val="22"/>
        </w:rPr>
      </w:pPr>
    </w:p>
    <w:p w14:paraId="54708DFB"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sz w:val="22"/>
          <w:szCs w:val="22"/>
        </w:rPr>
        <w:t>Por su parte, la interseccionalidad es la herramienta metodológica que permite operativizar estos enfoques. Su propósito fundamental es comprender que las personas y las comunidades no están atravesadas por una sola condición de vulnerabilidad, sino por múltiples variables que convergen de forma simultánea.</w:t>
      </w:r>
    </w:p>
    <w:p w14:paraId="4EDC231F" w14:textId="77777777" w:rsidR="008A08B5" w:rsidRPr="008A08B5" w:rsidRDefault="008A08B5" w:rsidP="008A08B5">
      <w:pPr>
        <w:spacing w:line="276" w:lineRule="auto"/>
        <w:ind w:left="142"/>
        <w:jc w:val="both"/>
        <w:rPr>
          <w:rFonts w:ascii="Arial" w:hAnsi="Arial" w:cs="Arial"/>
          <w:sz w:val="22"/>
          <w:szCs w:val="22"/>
        </w:rPr>
      </w:pPr>
    </w:p>
    <w:p w14:paraId="14F16069" w14:textId="0CD5790D" w:rsidR="008A08B5" w:rsidRPr="008A08B5" w:rsidRDefault="008A08B5" w:rsidP="00E81690">
      <w:pPr>
        <w:spacing w:line="276" w:lineRule="auto"/>
        <w:ind w:left="142"/>
        <w:jc w:val="both"/>
        <w:rPr>
          <w:rFonts w:ascii="Arial" w:hAnsi="Arial" w:cs="Arial"/>
          <w:sz w:val="22"/>
          <w:szCs w:val="22"/>
        </w:rPr>
      </w:pPr>
      <w:r w:rsidRPr="008A08B5">
        <w:rPr>
          <w:rFonts w:ascii="Arial" w:hAnsi="Arial" w:cs="Arial"/>
          <w:sz w:val="22"/>
          <w:szCs w:val="22"/>
        </w:rPr>
        <w:t xml:space="preserve"> El análisis interseccional supera los datos planos; por ejemplo, reconoce que la falta de cobertura eléctrica afecta de manera distinta a una población rural dispersa en general, en comparación con un hogar de esa misma zona que se encuentra bajo la jefatura de una mujer étnica en condición de discapacidad. La convergencia de estas variables produce formas específicas y profundas de exclusión —como la pobreza energética— que los promedios globales suelen ocultar.</w:t>
      </w:r>
      <w:r w:rsidR="00E81690">
        <w:rPr>
          <w:rFonts w:ascii="Arial" w:hAnsi="Arial" w:cs="Arial"/>
          <w:sz w:val="22"/>
          <w:szCs w:val="22"/>
        </w:rPr>
        <w:t xml:space="preserve"> </w:t>
      </w:r>
      <w:r w:rsidRPr="008A08B5">
        <w:rPr>
          <w:rFonts w:ascii="Arial" w:hAnsi="Arial" w:cs="Arial"/>
          <w:sz w:val="22"/>
          <w:szCs w:val="22"/>
        </w:rPr>
        <w:t>La integración de estos enfoques y sus variables transversales dentro de la misión de la entidad que se proponen a continuación, constituyen el cierre metodológico y el eje operativo de la matriz de 6 enfoques de planificación territorial e integra la ciencia climática con los modelos económicos de la infraestructura del país.</w:t>
      </w:r>
    </w:p>
    <w:p w14:paraId="0B0C5851" w14:textId="77777777" w:rsidR="008A08B5" w:rsidRPr="008A08B5" w:rsidRDefault="008A08B5" w:rsidP="008A08B5">
      <w:pPr>
        <w:spacing w:line="276" w:lineRule="auto"/>
        <w:ind w:left="142"/>
        <w:jc w:val="both"/>
        <w:rPr>
          <w:rFonts w:ascii="Arial" w:hAnsi="Arial" w:cs="Arial"/>
          <w:sz w:val="22"/>
          <w:szCs w:val="22"/>
        </w:rPr>
      </w:pPr>
    </w:p>
    <w:p w14:paraId="73A4C96E" w14:textId="77777777" w:rsidR="008A08B5" w:rsidRPr="008A08B5" w:rsidRDefault="008A08B5" w:rsidP="008A08B5">
      <w:pPr>
        <w:pStyle w:val="Prrafodelista"/>
        <w:numPr>
          <w:ilvl w:val="0"/>
          <w:numId w:val="86"/>
        </w:numPr>
        <w:spacing w:after="160" w:line="276" w:lineRule="auto"/>
        <w:ind w:left="142" w:firstLine="0"/>
        <w:jc w:val="both"/>
        <w:rPr>
          <w:rFonts w:ascii="Arial" w:hAnsi="Arial" w:cs="Arial"/>
          <w:b/>
          <w:bCs/>
          <w:sz w:val="22"/>
          <w:szCs w:val="22"/>
        </w:rPr>
      </w:pPr>
      <w:r w:rsidRPr="008A08B5">
        <w:rPr>
          <w:rFonts w:ascii="Arial" w:hAnsi="Arial" w:cs="Arial"/>
          <w:b/>
          <w:bCs/>
          <w:sz w:val="22"/>
          <w:szCs w:val="22"/>
        </w:rPr>
        <w:t>ENFOQUE DIFERENCIAL</w:t>
      </w:r>
    </w:p>
    <w:p w14:paraId="13D06F09"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lastRenderedPageBreak/>
        <w:t>Definición:</w:t>
      </w:r>
      <w:r w:rsidRPr="008A08B5">
        <w:rPr>
          <w:rFonts w:ascii="Arial" w:hAnsi="Arial" w:cs="Arial"/>
          <w:sz w:val="22"/>
          <w:szCs w:val="22"/>
        </w:rPr>
        <w:t xml:space="preserve"> Principio rector y método de análisis técnico-político que reconoce las particularidades, asimetrías históricas, vulnerabilidades y brechas de inequidad de grupos poblacionales específicos. Su integración en la planeación minero-energética obliga a trascender los datos macroeconómicos sectoriales, permitiendo el diseño de planes de expansión, cobertura y diversificación que respondan de manera proporcional a las realidades y capacidades de los sujetos de especial protección constitucional. </w:t>
      </w:r>
    </w:p>
    <w:p w14:paraId="18AC2155" w14:textId="77777777" w:rsidR="008A08B5" w:rsidRPr="008A08B5" w:rsidRDefault="008A08B5" w:rsidP="008A08B5">
      <w:pPr>
        <w:spacing w:line="276" w:lineRule="auto"/>
        <w:ind w:left="142"/>
        <w:jc w:val="both"/>
        <w:rPr>
          <w:rFonts w:ascii="Arial" w:hAnsi="Arial" w:cs="Arial"/>
          <w:sz w:val="22"/>
          <w:szCs w:val="22"/>
        </w:rPr>
      </w:pPr>
    </w:p>
    <w:p w14:paraId="3E40594D" w14:textId="77777777" w:rsidR="008A08B5" w:rsidRP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Origen:</w:t>
      </w:r>
      <w:r w:rsidRPr="008A08B5">
        <w:rPr>
          <w:rFonts w:ascii="Arial" w:hAnsi="Arial" w:cs="Arial"/>
          <w:sz w:val="22"/>
          <w:szCs w:val="22"/>
        </w:rPr>
        <w:t xml:space="preserve"> Aunque el fragmento cita de forma textual la fundamentación técnica y jurídica utilizada por la Unidad de Planeación Minero-Energética (UPME) y el Ministerio de Minas y Energía de Colombia, el "autor" intelectual detrás de la obligatoriedad y la definición de este principio en dichos términos es la Corte Constitucional de Colombia.</w:t>
      </w:r>
    </w:p>
    <w:p w14:paraId="45AEBF2E" w14:textId="77777777" w:rsidR="008A08B5" w:rsidRPr="008A08B5" w:rsidRDefault="008A08B5" w:rsidP="008A08B5">
      <w:pPr>
        <w:spacing w:line="276" w:lineRule="auto"/>
        <w:ind w:left="142"/>
        <w:jc w:val="both"/>
        <w:rPr>
          <w:rFonts w:ascii="Arial" w:hAnsi="Arial" w:cs="Arial"/>
          <w:sz w:val="22"/>
          <w:szCs w:val="22"/>
        </w:rPr>
      </w:pPr>
    </w:p>
    <w:p w14:paraId="5BE92A3E" w14:textId="77777777" w:rsidR="008A08B5" w:rsidRPr="008A08B5" w:rsidRDefault="008A08B5" w:rsidP="008A08B5">
      <w:pPr>
        <w:pStyle w:val="Prrafodelista"/>
        <w:numPr>
          <w:ilvl w:val="1"/>
          <w:numId w:val="86"/>
        </w:numPr>
        <w:spacing w:after="160" w:line="276" w:lineRule="auto"/>
        <w:ind w:left="142" w:firstLine="0"/>
        <w:jc w:val="both"/>
        <w:rPr>
          <w:rFonts w:ascii="Arial" w:hAnsi="Arial" w:cs="Arial"/>
          <w:b/>
          <w:bCs/>
          <w:sz w:val="22"/>
          <w:szCs w:val="22"/>
        </w:rPr>
      </w:pPr>
      <w:r w:rsidRPr="008A08B5">
        <w:rPr>
          <w:rFonts w:ascii="Arial" w:hAnsi="Arial" w:cs="Arial"/>
          <w:b/>
          <w:bCs/>
          <w:sz w:val="22"/>
          <w:szCs w:val="22"/>
        </w:rPr>
        <w:t>Variables Transversales Interseccionales:</w:t>
      </w:r>
    </w:p>
    <w:p w14:paraId="1B0660E5"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Identidad de Género y Orientación Sexual:</w:t>
      </w:r>
      <w:r w:rsidRPr="008A08B5">
        <w:rPr>
          <w:rFonts w:ascii="Arial" w:hAnsi="Arial" w:cs="Arial"/>
          <w:sz w:val="22"/>
          <w:szCs w:val="22"/>
        </w:rPr>
        <w:t xml:space="preserve"> Identificación de mujeres, hombres y población con orientaciones sexuales e identidades de género diversas para evaluar barreras de acceso a la energía y oportunidades de empleo en el sector.</w:t>
      </w:r>
    </w:p>
    <w:p w14:paraId="4FAB6900" w14:textId="77777777" w:rsidR="008A08B5" w:rsidRPr="008A08B5" w:rsidRDefault="008A08B5" w:rsidP="008A08B5">
      <w:pPr>
        <w:spacing w:line="276" w:lineRule="auto"/>
        <w:ind w:left="142"/>
        <w:jc w:val="both"/>
        <w:rPr>
          <w:rFonts w:ascii="Arial" w:hAnsi="Arial" w:cs="Arial"/>
          <w:sz w:val="22"/>
          <w:szCs w:val="22"/>
        </w:rPr>
      </w:pPr>
    </w:p>
    <w:p w14:paraId="5EBFF8E5"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Ciclo Vital:</w:t>
      </w:r>
      <w:r w:rsidRPr="008A08B5">
        <w:rPr>
          <w:rFonts w:ascii="Arial" w:hAnsi="Arial" w:cs="Arial"/>
          <w:sz w:val="22"/>
          <w:szCs w:val="22"/>
        </w:rPr>
        <w:t xml:space="preserve"> Clasificación por rangos de edad (primera infancia, infancia, adolescencia, juventud, adultez y vejez) para determinar el impacto de la infraestructura y los servicios energéticos en las diferentes etapas de la vida.</w:t>
      </w:r>
    </w:p>
    <w:p w14:paraId="4AEB6FF6" w14:textId="77777777" w:rsidR="008A08B5" w:rsidRPr="008A08B5" w:rsidRDefault="008A08B5" w:rsidP="008A08B5">
      <w:pPr>
        <w:spacing w:line="276" w:lineRule="auto"/>
        <w:ind w:left="142"/>
        <w:jc w:val="both"/>
        <w:rPr>
          <w:rFonts w:ascii="Arial" w:hAnsi="Arial" w:cs="Arial"/>
          <w:sz w:val="22"/>
          <w:szCs w:val="22"/>
        </w:rPr>
      </w:pPr>
    </w:p>
    <w:p w14:paraId="05BC62E1"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Situación de Discapacidad:</w:t>
      </w:r>
      <w:r w:rsidRPr="008A08B5">
        <w:rPr>
          <w:rFonts w:ascii="Arial" w:hAnsi="Arial" w:cs="Arial"/>
          <w:sz w:val="22"/>
          <w:szCs w:val="22"/>
        </w:rPr>
        <w:t xml:space="preserve"> Registro de limitaciones físicas, sensoriales, cognitivas o mentales en los hogares para medir la accesibilidad material a las soluciones energéticas y la vulnerabilidad ante cortes de servicio.</w:t>
      </w:r>
    </w:p>
    <w:p w14:paraId="55573FAE" w14:textId="77777777" w:rsidR="008A08B5" w:rsidRPr="008A08B5" w:rsidRDefault="008A08B5" w:rsidP="008A08B5">
      <w:pPr>
        <w:spacing w:line="276" w:lineRule="auto"/>
        <w:ind w:left="142"/>
        <w:jc w:val="both"/>
        <w:rPr>
          <w:rFonts w:ascii="Arial" w:hAnsi="Arial" w:cs="Arial"/>
          <w:sz w:val="22"/>
          <w:szCs w:val="22"/>
        </w:rPr>
      </w:pPr>
    </w:p>
    <w:p w14:paraId="272A049E" w14:textId="77777777" w:rsidR="008A08B5" w:rsidRP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Condición de Víctima del Conflicto Armado:</w:t>
      </w:r>
      <w:r w:rsidRPr="008A08B5">
        <w:rPr>
          <w:rFonts w:ascii="Arial" w:hAnsi="Arial" w:cs="Arial"/>
          <w:sz w:val="22"/>
          <w:szCs w:val="22"/>
        </w:rPr>
        <w:t xml:space="preserve"> Identificación de personas y hogares incluidos en el Registro Único de Víctimas para priorizar la restauración de derechos mediante proyectos de energización comunitaria y proyectos socio-productivos.</w:t>
      </w:r>
    </w:p>
    <w:p w14:paraId="11FFE1B1" w14:textId="77777777" w:rsidR="008A08B5" w:rsidRP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Dispersión Geográfica:</w:t>
      </w:r>
      <w:r w:rsidRPr="008A08B5">
        <w:rPr>
          <w:rFonts w:ascii="Arial" w:hAnsi="Arial" w:cs="Arial"/>
          <w:sz w:val="22"/>
          <w:szCs w:val="22"/>
        </w:rPr>
        <w:t xml:space="preserve"> Medición de la distancia y accesibilidad de los asentamientos humanos respecto a las redes del Sistema Interconectado Nacional, definiendo la condición de Zona No Interconectada.</w:t>
      </w:r>
    </w:p>
    <w:p w14:paraId="2081F0EF" w14:textId="77777777" w:rsidR="008A08B5" w:rsidRPr="008A08B5" w:rsidRDefault="008A08B5" w:rsidP="008A08B5">
      <w:pPr>
        <w:spacing w:line="276" w:lineRule="auto"/>
        <w:ind w:left="142"/>
        <w:jc w:val="both"/>
        <w:rPr>
          <w:rFonts w:ascii="Arial" w:hAnsi="Arial" w:cs="Arial"/>
          <w:b/>
          <w:bCs/>
          <w:sz w:val="22"/>
          <w:szCs w:val="22"/>
        </w:rPr>
      </w:pPr>
    </w:p>
    <w:p w14:paraId="3404CC0E" w14:textId="77777777" w:rsidR="008A08B5" w:rsidRPr="008A08B5" w:rsidRDefault="008A08B5" w:rsidP="008A08B5">
      <w:pPr>
        <w:pStyle w:val="Prrafodelista"/>
        <w:numPr>
          <w:ilvl w:val="0"/>
          <w:numId w:val="86"/>
        </w:numPr>
        <w:spacing w:after="160" w:line="276" w:lineRule="auto"/>
        <w:ind w:left="142" w:firstLine="0"/>
        <w:jc w:val="both"/>
        <w:rPr>
          <w:rFonts w:ascii="Arial" w:hAnsi="Arial" w:cs="Arial"/>
          <w:b/>
          <w:bCs/>
          <w:sz w:val="22"/>
          <w:szCs w:val="22"/>
        </w:rPr>
      </w:pPr>
      <w:r w:rsidRPr="008A08B5">
        <w:rPr>
          <w:rFonts w:ascii="Arial" w:hAnsi="Arial" w:cs="Arial"/>
          <w:b/>
          <w:bCs/>
          <w:sz w:val="22"/>
          <w:szCs w:val="22"/>
        </w:rPr>
        <w:t>ENFOQUE ÉTNICO</w:t>
      </w:r>
    </w:p>
    <w:p w14:paraId="3714F6A6"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Definición:</w:t>
      </w:r>
      <w:r w:rsidRPr="008A08B5">
        <w:rPr>
          <w:rFonts w:ascii="Arial" w:hAnsi="Arial" w:cs="Arial"/>
          <w:sz w:val="22"/>
          <w:szCs w:val="22"/>
        </w:rPr>
        <w:t xml:space="preserve"> Perspectiva analítica, jurídica e intercultural fundamentada en el bloque de constitucionalidad que reconoce, respeta y salvaguarda el derecho a la identidad cultural, la autonomía, la autodeterminación y la territorialidad de los pueblos étnicamente diferenciados. En </w:t>
      </w:r>
      <w:r w:rsidRPr="008A08B5">
        <w:rPr>
          <w:rFonts w:ascii="Arial" w:hAnsi="Arial" w:cs="Arial"/>
          <w:sz w:val="22"/>
          <w:szCs w:val="22"/>
        </w:rPr>
        <w:lastRenderedPageBreak/>
        <w:t>el marco de la planeación sectorial, actúa como un parámetro de viabilidad que armoniza el desarrollo de la infraestructura energética con la protección de los sistemas de gobernanza propia, las formas tradicionales de producción y los espacios sagrados o ancestrales.</w:t>
      </w:r>
    </w:p>
    <w:p w14:paraId="2BAF1109" w14:textId="77777777" w:rsidR="008A08B5" w:rsidRPr="008A08B5" w:rsidRDefault="008A08B5" w:rsidP="008A08B5">
      <w:pPr>
        <w:spacing w:line="276" w:lineRule="auto"/>
        <w:ind w:left="142"/>
        <w:jc w:val="both"/>
        <w:rPr>
          <w:rFonts w:ascii="Arial" w:hAnsi="Arial" w:cs="Arial"/>
          <w:sz w:val="22"/>
          <w:szCs w:val="22"/>
        </w:rPr>
      </w:pPr>
    </w:p>
    <w:p w14:paraId="3A4715AC" w14:textId="77777777" w:rsidR="008A08B5" w:rsidRP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Origen</w:t>
      </w:r>
      <w:r w:rsidRPr="008A08B5">
        <w:rPr>
          <w:rFonts w:ascii="Arial" w:hAnsi="Arial" w:cs="Arial"/>
          <w:sz w:val="22"/>
          <w:szCs w:val="22"/>
        </w:rPr>
        <w:t xml:space="preserve">: Esta definición, al igual que la anterior, proviene institucionalmente de la Unidad de Planeación Minero-Energética (UPME) y el Ministerio de Minas y Energía de Colombia, fundamentada jurídicamente en la jurisprudencia de la Corte Constitucional de Colombia. El texto corresponde de manera exacta a las directrices conceptuales y metodológicas del Enfoque Diferencial y Étnico que la UPME integra en sus instrumentos de política pública (como el </w:t>
      </w:r>
      <w:hyperlink r:id="rId7" w:tgtFrame="_blank" w:history="1">
        <w:r w:rsidRPr="008A08B5">
          <w:rPr>
            <w:rStyle w:val="Hipervnculo"/>
            <w:rFonts w:ascii="Arial" w:hAnsi="Arial" w:cs="Arial"/>
            <w:color w:val="auto"/>
            <w:sz w:val="22"/>
            <w:szCs w:val="22"/>
          </w:rPr>
          <w:t>Plan Energético Nacional - PEN</w:t>
        </w:r>
      </w:hyperlink>
      <w:r w:rsidRPr="008A08B5">
        <w:rPr>
          <w:rFonts w:ascii="Arial" w:hAnsi="Arial" w:cs="Arial"/>
          <w:sz w:val="22"/>
          <w:szCs w:val="22"/>
        </w:rPr>
        <w:t xml:space="preserve"> y los manuales institucionales de planificación socio-ambiental).</w:t>
      </w:r>
    </w:p>
    <w:p w14:paraId="54173961" w14:textId="77777777" w:rsidR="008A08B5" w:rsidRPr="008A08B5" w:rsidRDefault="008A08B5" w:rsidP="008A08B5">
      <w:pPr>
        <w:spacing w:line="276" w:lineRule="auto"/>
        <w:ind w:left="142"/>
        <w:jc w:val="both"/>
        <w:rPr>
          <w:rFonts w:ascii="Arial" w:hAnsi="Arial" w:cs="Arial"/>
          <w:sz w:val="22"/>
          <w:szCs w:val="22"/>
        </w:rPr>
      </w:pPr>
    </w:p>
    <w:p w14:paraId="1A012C89" w14:textId="77777777" w:rsidR="008A08B5" w:rsidRPr="008A08B5" w:rsidRDefault="008A08B5" w:rsidP="008A08B5">
      <w:pPr>
        <w:pStyle w:val="Prrafodelista"/>
        <w:numPr>
          <w:ilvl w:val="1"/>
          <w:numId w:val="86"/>
        </w:numPr>
        <w:spacing w:after="160" w:line="276" w:lineRule="auto"/>
        <w:ind w:left="142" w:firstLine="0"/>
        <w:jc w:val="both"/>
        <w:rPr>
          <w:rFonts w:ascii="Arial" w:hAnsi="Arial" w:cs="Arial"/>
          <w:b/>
          <w:bCs/>
          <w:sz w:val="22"/>
          <w:szCs w:val="22"/>
        </w:rPr>
      </w:pPr>
      <w:r w:rsidRPr="008A08B5">
        <w:rPr>
          <w:rFonts w:ascii="Arial" w:hAnsi="Arial" w:cs="Arial"/>
          <w:b/>
          <w:bCs/>
          <w:sz w:val="22"/>
          <w:szCs w:val="22"/>
        </w:rPr>
        <w:t>Variables Transversales Interseccionales:</w:t>
      </w:r>
    </w:p>
    <w:p w14:paraId="3A1645A2"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Autoidentificación Étnico-Racial:</w:t>
      </w:r>
      <w:r w:rsidRPr="008A08B5">
        <w:rPr>
          <w:rFonts w:ascii="Arial" w:hAnsi="Arial" w:cs="Arial"/>
          <w:sz w:val="22"/>
          <w:szCs w:val="22"/>
        </w:rPr>
        <w:t xml:space="preserve"> Clasificación poblacional de acuerdo con los criterios censales oficiales para Comunidades Negras, Criollos, Raizales y Palenqueras, Pueblos Indígenas y el Pueblo </w:t>
      </w:r>
      <w:proofErr w:type="spellStart"/>
      <w:r w:rsidRPr="008A08B5">
        <w:rPr>
          <w:rFonts w:ascii="Arial" w:hAnsi="Arial" w:cs="Arial"/>
          <w:sz w:val="22"/>
          <w:szCs w:val="22"/>
        </w:rPr>
        <w:t>Rrom</w:t>
      </w:r>
      <w:proofErr w:type="spellEnd"/>
      <w:r w:rsidRPr="008A08B5">
        <w:rPr>
          <w:rFonts w:ascii="Arial" w:hAnsi="Arial" w:cs="Arial"/>
          <w:sz w:val="22"/>
          <w:szCs w:val="22"/>
        </w:rPr>
        <w:t>.</w:t>
      </w:r>
    </w:p>
    <w:p w14:paraId="412C9920" w14:textId="77777777" w:rsidR="008A08B5" w:rsidRPr="008A08B5" w:rsidRDefault="008A08B5" w:rsidP="008A08B5">
      <w:pPr>
        <w:spacing w:line="276" w:lineRule="auto"/>
        <w:ind w:left="142"/>
        <w:jc w:val="both"/>
        <w:rPr>
          <w:rFonts w:ascii="Arial" w:hAnsi="Arial" w:cs="Arial"/>
          <w:sz w:val="22"/>
          <w:szCs w:val="22"/>
        </w:rPr>
      </w:pPr>
    </w:p>
    <w:p w14:paraId="037A24BB"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Pertenencia Lingüística:</w:t>
      </w:r>
      <w:r w:rsidRPr="008A08B5">
        <w:rPr>
          <w:rFonts w:ascii="Arial" w:hAnsi="Arial" w:cs="Arial"/>
          <w:sz w:val="22"/>
          <w:szCs w:val="22"/>
        </w:rPr>
        <w:t xml:space="preserve"> Registro del uso de lenguas nativas y criollas en los territorios para garantizar la pertinencia cultural de los procesos de socialización y consulta.</w:t>
      </w:r>
    </w:p>
    <w:p w14:paraId="506EA859" w14:textId="77777777" w:rsidR="008A08B5" w:rsidRPr="008A08B5" w:rsidRDefault="008A08B5" w:rsidP="008A08B5">
      <w:pPr>
        <w:spacing w:line="276" w:lineRule="auto"/>
        <w:ind w:left="142"/>
        <w:jc w:val="both"/>
        <w:rPr>
          <w:rFonts w:ascii="Arial" w:hAnsi="Arial" w:cs="Arial"/>
          <w:sz w:val="22"/>
          <w:szCs w:val="22"/>
        </w:rPr>
      </w:pPr>
    </w:p>
    <w:p w14:paraId="7FDFDB58"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Estructura de Gobernanza Territorial:</w:t>
      </w:r>
      <w:r w:rsidRPr="008A08B5">
        <w:rPr>
          <w:rFonts w:ascii="Arial" w:hAnsi="Arial" w:cs="Arial"/>
          <w:sz w:val="22"/>
          <w:szCs w:val="22"/>
        </w:rPr>
        <w:t xml:space="preserve"> Identificación del tipo de propiedad colectiva y autoridad interna legalmente constituida, tales como Resguardos Indígenas, Consejos Comunitarios de Comunidades Negras o </w:t>
      </w:r>
      <w:proofErr w:type="spellStart"/>
      <w:r w:rsidRPr="008A08B5">
        <w:rPr>
          <w:rFonts w:ascii="Arial" w:hAnsi="Arial" w:cs="Arial"/>
          <w:sz w:val="22"/>
          <w:szCs w:val="22"/>
        </w:rPr>
        <w:t>Kumpanias</w:t>
      </w:r>
      <w:proofErr w:type="spellEnd"/>
      <w:r w:rsidRPr="008A08B5">
        <w:rPr>
          <w:rFonts w:ascii="Arial" w:hAnsi="Arial" w:cs="Arial"/>
          <w:sz w:val="22"/>
          <w:szCs w:val="22"/>
        </w:rPr>
        <w:t>.</w:t>
      </w:r>
    </w:p>
    <w:p w14:paraId="08FF71E2" w14:textId="77777777" w:rsidR="008A08B5" w:rsidRPr="008A08B5" w:rsidRDefault="008A08B5" w:rsidP="008A08B5">
      <w:pPr>
        <w:spacing w:line="276" w:lineRule="auto"/>
        <w:ind w:left="142"/>
        <w:jc w:val="both"/>
        <w:rPr>
          <w:rFonts w:ascii="Arial" w:hAnsi="Arial" w:cs="Arial"/>
          <w:sz w:val="22"/>
          <w:szCs w:val="22"/>
        </w:rPr>
      </w:pPr>
    </w:p>
    <w:p w14:paraId="49EEAEC3" w14:textId="77777777" w:rsidR="008A08B5" w:rsidRP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Género Étnico:</w:t>
      </w:r>
      <w:r w:rsidRPr="008A08B5">
        <w:rPr>
          <w:rFonts w:ascii="Arial" w:hAnsi="Arial" w:cs="Arial"/>
          <w:sz w:val="22"/>
          <w:szCs w:val="22"/>
        </w:rPr>
        <w:t xml:space="preserve"> Cruce entre la identidad étnica y los roles de género tradicionales dentro de la comunidad para evaluar la participación de las mujeres étnicas en la toma de decisiones sobre el territorio y los recursos.</w:t>
      </w:r>
    </w:p>
    <w:p w14:paraId="64B348FA" w14:textId="77777777" w:rsidR="008A08B5" w:rsidRPr="008A08B5" w:rsidRDefault="008A08B5" w:rsidP="008A08B5">
      <w:pPr>
        <w:spacing w:line="276" w:lineRule="auto"/>
        <w:ind w:left="142"/>
        <w:jc w:val="both"/>
        <w:rPr>
          <w:rFonts w:ascii="Arial" w:hAnsi="Arial" w:cs="Arial"/>
          <w:b/>
          <w:bCs/>
          <w:sz w:val="22"/>
          <w:szCs w:val="22"/>
        </w:rPr>
      </w:pPr>
    </w:p>
    <w:p w14:paraId="4D038C5D" w14:textId="77777777" w:rsidR="008A08B5" w:rsidRPr="008A08B5" w:rsidRDefault="008A08B5" w:rsidP="008A08B5">
      <w:pPr>
        <w:pStyle w:val="Prrafodelista"/>
        <w:numPr>
          <w:ilvl w:val="0"/>
          <w:numId w:val="86"/>
        </w:numPr>
        <w:spacing w:after="160" w:line="276" w:lineRule="auto"/>
        <w:ind w:left="142" w:firstLine="0"/>
        <w:jc w:val="both"/>
        <w:rPr>
          <w:rFonts w:ascii="Arial" w:hAnsi="Arial" w:cs="Arial"/>
          <w:b/>
          <w:bCs/>
          <w:sz w:val="22"/>
          <w:szCs w:val="22"/>
        </w:rPr>
      </w:pPr>
      <w:r w:rsidRPr="008A08B5">
        <w:rPr>
          <w:rFonts w:ascii="Arial" w:hAnsi="Arial" w:cs="Arial"/>
          <w:b/>
          <w:bCs/>
          <w:sz w:val="22"/>
          <w:szCs w:val="22"/>
        </w:rPr>
        <w:t>ENFOQUE SOCIAL Y ECONÓMICO</w:t>
      </w:r>
    </w:p>
    <w:p w14:paraId="1C2CBB0E"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Definición:</w:t>
      </w:r>
      <w:r w:rsidRPr="008A08B5">
        <w:rPr>
          <w:rFonts w:ascii="Arial" w:hAnsi="Arial" w:cs="Arial"/>
          <w:sz w:val="22"/>
          <w:szCs w:val="22"/>
        </w:rPr>
        <w:t xml:space="preserve"> Herramienta metodológica y de gestión pública que sitúa a las comunidades humanas como actor central, corresponsable y beneficiario de la política minero-energética. Este enfoque operacionaliza la gestión social del territorio al integrar la conflictividad y la estructura socioeconómica local como variables técnicas explícitas y predictivas en los modelos de planeación, generando la distribución equitativa de beneficios, la mitigación de impactos negativos y la sostenibilidad de las inversiones sectoriales.</w:t>
      </w:r>
    </w:p>
    <w:p w14:paraId="59E3ED32" w14:textId="77777777" w:rsidR="008A08B5" w:rsidRPr="008A08B5" w:rsidRDefault="008A08B5" w:rsidP="008A08B5">
      <w:pPr>
        <w:spacing w:line="276" w:lineRule="auto"/>
        <w:ind w:left="142"/>
        <w:jc w:val="both"/>
        <w:rPr>
          <w:rFonts w:ascii="Arial" w:hAnsi="Arial" w:cs="Arial"/>
          <w:sz w:val="22"/>
          <w:szCs w:val="22"/>
        </w:rPr>
      </w:pPr>
    </w:p>
    <w:p w14:paraId="7B10D7CE"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lastRenderedPageBreak/>
        <w:t xml:space="preserve">Origen: </w:t>
      </w:r>
      <w:r w:rsidRPr="008A08B5">
        <w:rPr>
          <w:rFonts w:ascii="Arial" w:hAnsi="Arial" w:cs="Arial"/>
          <w:sz w:val="22"/>
          <w:szCs w:val="22"/>
        </w:rPr>
        <w:t xml:space="preserve">Esta definición proviene formalmente de los instrumentos normativos y metodológicos de la Unidad de Planeación Minero-Energética (UPME) y el Ministerio de Minas y Energía de Colombia. </w:t>
      </w:r>
    </w:p>
    <w:p w14:paraId="25ED2854" w14:textId="77777777" w:rsidR="008A08B5" w:rsidRPr="008A08B5" w:rsidRDefault="008A08B5" w:rsidP="008A08B5">
      <w:pPr>
        <w:spacing w:line="276" w:lineRule="auto"/>
        <w:ind w:left="142"/>
        <w:jc w:val="both"/>
        <w:rPr>
          <w:rFonts w:ascii="Arial" w:hAnsi="Arial" w:cs="Arial"/>
          <w:sz w:val="22"/>
          <w:szCs w:val="22"/>
        </w:rPr>
      </w:pPr>
    </w:p>
    <w:p w14:paraId="5034043A" w14:textId="77777777" w:rsidR="008A08B5" w:rsidRPr="008A08B5" w:rsidRDefault="008A08B5" w:rsidP="008A08B5">
      <w:pPr>
        <w:spacing w:line="276" w:lineRule="auto"/>
        <w:ind w:left="142"/>
        <w:jc w:val="both"/>
        <w:rPr>
          <w:rFonts w:ascii="Arial" w:hAnsi="Arial" w:cs="Arial"/>
          <w:sz w:val="22"/>
          <w:szCs w:val="22"/>
        </w:rPr>
      </w:pPr>
      <w:r w:rsidRPr="008A08B5">
        <w:rPr>
          <w:rFonts w:ascii="Arial" w:hAnsi="Arial" w:cs="Arial"/>
          <w:sz w:val="22"/>
          <w:szCs w:val="22"/>
        </w:rPr>
        <w:t xml:space="preserve">Al igual que los numerales anteriores (Enfoque Diferencial y Enfoque Étnico), este fragmento forma parte de la Resolución de Adopción del Enfoque Diferencial y la reestructuración metodológica de la UPME para la planeación del sector bajo el marco de la </w:t>
      </w:r>
      <w:r w:rsidRPr="008A08B5">
        <w:rPr>
          <w:rFonts w:ascii="Arial" w:hAnsi="Arial" w:cs="Arial"/>
          <w:i/>
          <w:iCs/>
          <w:sz w:val="22"/>
          <w:szCs w:val="22"/>
        </w:rPr>
        <w:t>Transición Energética Justa</w:t>
      </w:r>
      <w:r w:rsidRPr="008A08B5">
        <w:rPr>
          <w:rFonts w:ascii="Arial" w:hAnsi="Arial" w:cs="Arial"/>
          <w:sz w:val="22"/>
          <w:szCs w:val="22"/>
        </w:rPr>
        <w:t xml:space="preserve">. </w:t>
      </w:r>
    </w:p>
    <w:p w14:paraId="769311CA" w14:textId="77777777" w:rsidR="008A08B5" w:rsidRPr="008A08B5" w:rsidRDefault="008A08B5" w:rsidP="008A08B5">
      <w:pPr>
        <w:spacing w:line="276" w:lineRule="auto"/>
        <w:ind w:left="142"/>
        <w:jc w:val="both"/>
        <w:rPr>
          <w:rFonts w:ascii="Arial" w:hAnsi="Arial" w:cs="Arial"/>
          <w:b/>
          <w:bCs/>
          <w:sz w:val="22"/>
          <w:szCs w:val="22"/>
        </w:rPr>
      </w:pPr>
    </w:p>
    <w:p w14:paraId="031E61BB" w14:textId="77777777" w:rsidR="008A08B5" w:rsidRPr="008A08B5" w:rsidRDefault="008A08B5" w:rsidP="008A08B5">
      <w:pPr>
        <w:pStyle w:val="Prrafodelista"/>
        <w:numPr>
          <w:ilvl w:val="1"/>
          <w:numId w:val="86"/>
        </w:numPr>
        <w:spacing w:after="160" w:line="276" w:lineRule="auto"/>
        <w:ind w:left="142" w:firstLine="0"/>
        <w:jc w:val="both"/>
        <w:rPr>
          <w:rFonts w:ascii="Arial" w:hAnsi="Arial" w:cs="Arial"/>
          <w:b/>
          <w:bCs/>
          <w:sz w:val="22"/>
          <w:szCs w:val="22"/>
        </w:rPr>
      </w:pPr>
      <w:r w:rsidRPr="008A08B5">
        <w:rPr>
          <w:rFonts w:ascii="Arial" w:hAnsi="Arial" w:cs="Arial"/>
          <w:b/>
          <w:bCs/>
          <w:sz w:val="22"/>
          <w:szCs w:val="22"/>
        </w:rPr>
        <w:t>Variables Transversales Interseccionales:</w:t>
      </w:r>
    </w:p>
    <w:p w14:paraId="3F97F36A"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Nivel de Pobreza Multidimensional:</w:t>
      </w:r>
      <w:r w:rsidRPr="008A08B5">
        <w:rPr>
          <w:rFonts w:ascii="Arial" w:hAnsi="Arial" w:cs="Arial"/>
          <w:sz w:val="22"/>
          <w:szCs w:val="22"/>
        </w:rPr>
        <w:t xml:space="preserve"> Clasificación del nivel de privaciones de los hogares en dimensiones de educación, niñez, trabajo, salud y servicios públicos, alineada con el índice oficial del Departamento Nacional de Planeación.</w:t>
      </w:r>
    </w:p>
    <w:p w14:paraId="6AC3C5A2" w14:textId="77777777" w:rsidR="008A08B5" w:rsidRPr="008A08B5" w:rsidRDefault="008A08B5" w:rsidP="008A08B5">
      <w:pPr>
        <w:spacing w:line="276" w:lineRule="auto"/>
        <w:ind w:left="142"/>
        <w:jc w:val="both"/>
        <w:rPr>
          <w:rFonts w:ascii="Arial" w:hAnsi="Arial" w:cs="Arial"/>
          <w:sz w:val="22"/>
          <w:szCs w:val="22"/>
        </w:rPr>
      </w:pPr>
    </w:p>
    <w:p w14:paraId="4361F0FE"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Tipo de Ocupación y Formalidad Laboral:</w:t>
      </w:r>
      <w:r w:rsidRPr="008A08B5">
        <w:rPr>
          <w:rFonts w:ascii="Arial" w:hAnsi="Arial" w:cs="Arial"/>
          <w:sz w:val="22"/>
          <w:szCs w:val="22"/>
        </w:rPr>
        <w:t xml:space="preserve"> Caracterización de la fuerza de trabajo local, distinguiendo formalidad, informalidad y actividades tradicionales como la minería de subsistencia, la agricultura o la pesca artesanal.</w:t>
      </w:r>
    </w:p>
    <w:p w14:paraId="53005429" w14:textId="77777777" w:rsidR="008A08B5" w:rsidRPr="008A08B5" w:rsidRDefault="008A08B5" w:rsidP="008A08B5">
      <w:pPr>
        <w:spacing w:line="276" w:lineRule="auto"/>
        <w:ind w:left="142"/>
        <w:jc w:val="both"/>
        <w:rPr>
          <w:rFonts w:ascii="Arial" w:hAnsi="Arial" w:cs="Arial"/>
          <w:sz w:val="22"/>
          <w:szCs w:val="22"/>
        </w:rPr>
      </w:pPr>
    </w:p>
    <w:p w14:paraId="1F6715B2"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Nivel de Escolaridad:</w:t>
      </w:r>
      <w:r w:rsidRPr="008A08B5">
        <w:rPr>
          <w:rFonts w:ascii="Arial" w:hAnsi="Arial" w:cs="Arial"/>
          <w:sz w:val="22"/>
          <w:szCs w:val="22"/>
        </w:rPr>
        <w:t xml:space="preserve"> Registro del grado de instrucción académica alcanzado por la población en el área de influencia para determinar la viabilidad de la contratación de mano de obra local calificada y no calificada.</w:t>
      </w:r>
    </w:p>
    <w:p w14:paraId="582BB66A" w14:textId="77777777" w:rsidR="008A08B5" w:rsidRPr="008A08B5" w:rsidRDefault="008A08B5" w:rsidP="008A08B5">
      <w:pPr>
        <w:spacing w:line="276" w:lineRule="auto"/>
        <w:ind w:left="142"/>
        <w:jc w:val="both"/>
        <w:rPr>
          <w:rFonts w:ascii="Arial" w:hAnsi="Arial" w:cs="Arial"/>
          <w:sz w:val="22"/>
          <w:szCs w:val="22"/>
        </w:rPr>
      </w:pPr>
    </w:p>
    <w:p w14:paraId="50B803D6" w14:textId="77777777" w:rsidR="008A08B5" w:rsidRP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Tenencia de la Tierra:</w:t>
      </w:r>
      <w:r w:rsidRPr="008A08B5">
        <w:rPr>
          <w:rFonts w:ascii="Arial" w:hAnsi="Arial" w:cs="Arial"/>
          <w:sz w:val="22"/>
          <w:szCs w:val="22"/>
        </w:rPr>
        <w:t xml:space="preserve"> Situación jurídica de los predios habitados o productivos, clasificando entre propietarios con título registrado, poseedores regulares, tenedores o adjudicatarios de reforma agraria.</w:t>
      </w:r>
    </w:p>
    <w:p w14:paraId="3E780F18" w14:textId="77777777" w:rsidR="008A08B5" w:rsidRPr="008A08B5" w:rsidRDefault="008A08B5" w:rsidP="008A08B5">
      <w:pPr>
        <w:spacing w:line="276" w:lineRule="auto"/>
        <w:ind w:left="142"/>
        <w:jc w:val="both"/>
        <w:rPr>
          <w:rFonts w:ascii="Arial" w:hAnsi="Arial" w:cs="Arial"/>
          <w:sz w:val="22"/>
          <w:szCs w:val="22"/>
        </w:rPr>
      </w:pPr>
    </w:p>
    <w:p w14:paraId="1EE7EA35" w14:textId="77777777" w:rsidR="008A08B5" w:rsidRPr="008A08B5" w:rsidRDefault="008A08B5" w:rsidP="008A08B5">
      <w:pPr>
        <w:pStyle w:val="Prrafodelista"/>
        <w:numPr>
          <w:ilvl w:val="0"/>
          <w:numId w:val="86"/>
        </w:numPr>
        <w:spacing w:after="160" w:line="276" w:lineRule="auto"/>
        <w:ind w:left="142" w:firstLine="0"/>
        <w:jc w:val="both"/>
        <w:rPr>
          <w:rFonts w:ascii="Arial" w:hAnsi="Arial" w:cs="Arial"/>
          <w:b/>
          <w:bCs/>
          <w:sz w:val="22"/>
          <w:szCs w:val="22"/>
        </w:rPr>
      </w:pPr>
      <w:r w:rsidRPr="008A08B5">
        <w:rPr>
          <w:rFonts w:ascii="Arial" w:hAnsi="Arial" w:cs="Arial"/>
          <w:b/>
          <w:bCs/>
          <w:sz w:val="22"/>
          <w:szCs w:val="22"/>
        </w:rPr>
        <w:t>ENFOQUE AMBIENTAL Y DE SOSTENIBILIDAD ECOSISTÉMICA.</w:t>
      </w:r>
    </w:p>
    <w:p w14:paraId="06276BB6" w14:textId="77777777" w:rsidR="008A08B5" w:rsidRDefault="008A08B5" w:rsidP="008A08B5">
      <w:pPr>
        <w:spacing w:line="276" w:lineRule="auto"/>
        <w:ind w:left="142"/>
        <w:jc w:val="both"/>
        <w:rPr>
          <w:rFonts w:ascii="Arial" w:hAnsi="Arial" w:cs="Arial"/>
          <w:b/>
          <w:bCs/>
          <w:sz w:val="22"/>
          <w:szCs w:val="22"/>
        </w:rPr>
      </w:pPr>
    </w:p>
    <w:p w14:paraId="28DF2FEE" w14:textId="77777777" w:rsidR="008A08B5" w:rsidRDefault="008A08B5" w:rsidP="008A08B5">
      <w:pPr>
        <w:spacing w:line="276" w:lineRule="auto"/>
        <w:ind w:left="142"/>
        <w:jc w:val="both"/>
        <w:rPr>
          <w:rFonts w:ascii="Arial" w:hAnsi="Arial" w:cs="Arial"/>
          <w:b/>
          <w:bCs/>
          <w:sz w:val="22"/>
          <w:szCs w:val="22"/>
        </w:rPr>
      </w:pPr>
    </w:p>
    <w:p w14:paraId="4210A89A" w14:textId="315BC69D"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Definición:</w:t>
      </w:r>
      <w:r w:rsidRPr="008A08B5">
        <w:rPr>
          <w:rFonts w:ascii="Arial" w:hAnsi="Arial" w:cs="Arial"/>
          <w:sz w:val="22"/>
          <w:szCs w:val="22"/>
        </w:rPr>
        <w:t xml:space="preserve"> Marco integral de planificación espacial y sectorial que evalúa la interdependencia entre las actividades extractivas y de transformación energética con la integridad biótica, la resiliencia de los ecosistemas y la continuidad de los servicios ecosistémicos. Su propósito es estructurar lineamientos de planificación que garanticen el aprovechamiento racional del subsuelo y la superficie, limitando la degradación ambiental y asegurando la compatibilidad del sector con los determinantes ambientales de ordenamiento territorial.</w:t>
      </w:r>
    </w:p>
    <w:p w14:paraId="1BEC05E8" w14:textId="77777777" w:rsidR="008A08B5" w:rsidRPr="008A08B5" w:rsidRDefault="008A08B5" w:rsidP="008A08B5">
      <w:pPr>
        <w:spacing w:line="276" w:lineRule="auto"/>
        <w:ind w:left="142"/>
        <w:jc w:val="both"/>
        <w:rPr>
          <w:rFonts w:ascii="Arial" w:hAnsi="Arial" w:cs="Arial"/>
          <w:sz w:val="22"/>
          <w:szCs w:val="22"/>
        </w:rPr>
      </w:pPr>
    </w:p>
    <w:p w14:paraId="14210260"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lastRenderedPageBreak/>
        <w:t>Origen:</w:t>
      </w:r>
      <w:r w:rsidRPr="008A08B5">
        <w:rPr>
          <w:rFonts w:ascii="Arial" w:hAnsi="Arial" w:cs="Arial"/>
          <w:sz w:val="22"/>
          <w:szCs w:val="22"/>
        </w:rPr>
        <w:t xml:space="preserve"> Esta definición proviene del marco conceptual y normativo de la Unidad de Planeación Minero-Energética (UPME) y el Ministerio de Minas y Energía de Colombia, estructurado bajo los lineamientos del Ministerio de Ambiente y Desarrollo Sostenible.</w:t>
      </w:r>
    </w:p>
    <w:p w14:paraId="71E4602D" w14:textId="77777777" w:rsidR="008A08B5" w:rsidRPr="008A08B5" w:rsidRDefault="008A08B5" w:rsidP="008A08B5">
      <w:pPr>
        <w:spacing w:line="276" w:lineRule="auto"/>
        <w:ind w:left="142"/>
        <w:jc w:val="both"/>
        <w:rPr>
          <w:rFonts w:ascii="Arial" w:hAnsi="Arial" w:cs="Arial"/>
          <w:sz w:val="22"/>
          <w:szCs w:val="22"/>
        </w:rPr>
      </w:pPr>
    </w:p>
    <w:p w14:paraId="5164DBF7" w14:textId="77777777" w:rsidR="008A08B5" w:rsidRPr="008A08B5" w:rsidRDefault="008A08B5" w:rsidP="008A08B5">
      <w:pPr>
        <w:spacing w:line="276" w:lineRule="auto"/>
        <w:ind w:left="142"/>
        <w:jc w:val="both"/>
        <w:rPr>
          <w:rFonts w:ascii="Arial" w:hAnsi="Arial" w:cs="Arial"/>
          <w:sz w:val="22"/>
          <w:szCs w:val="22"/>
        </w:rPr>
      </w:pPr>
      <w:r w:rsidRPr="008A08B5">
        <w:rPr>
          <w:rFonts w:ascii="Arial" w:hAnsi="Arial" w:cs="Arial"/>
          <w:sz w:val="22"/>
          <w:szCs w:val="22"/>
        </w:rPr>
        <w:t xml:space="preserve">Este texto específico forma parte del conjunto de criterios técnicos que la UPME utiliza para implementar la Evaluación Ambiental Estratégica (EAE) y viabilizar los proyectos de infraestructura en el país. Así, se completa la matriz de análisis integrada por los enfoques diferencial, étnico, socioeconómico y, en este caso, ambiental. </w:t>
      </w:r>
    </w:p>
    <w:p w14:paraId="2596B298" w14:textId="77777777" w:rsidR="008A08B5" w:rsidRPr="008A08B5" w:rsidRDefault="008A08B5" w:rsidP="008A08B5">
      <w:pPr>
        <w:spacing w:line="276" w:lineRule="auto"/>
        <w:ind w:left="142"/>
        <w:jc w:val="both"/>
        <w:rPr>
          <w:rFonts w:ascii="Arial" w:hAnsi="Arial" w:cs="Arial"/>
          <w:b/>
          <w:bCs/>
          <w:sz w:val="22"/>
          <w:szCs w:val="22"/>
        </w:rPr>
      </w:pPr>
    </w:p>
    <w:p w14:paraId="214E2CCA" w14:textId="77777777" w:rsidR="008A08B5" w:rsidRPr="008A08B5" w:rsidRDefault="008A08B5" w:rsidP="008A08B5">
      <w:pPr>
        <w:pStyle w:val="Prrafodelista"/>
        <w:numPr>
          <w:ilvl w:val="1"/>
          <w:numId w:val="86"/>
        </w:numPr>
        <w:spacing w:after="160" w:line="276" w:lineRule="auto"/>
        <w:ind w:left="142" w:firstLine="0"/>
        <w:jc w:val="both"/>
        <w:rPr>
          <w:rFonts w:ascii="Arial" w:hAnsi="Arial" w:cs="Arial"/>
          <w:b/>
          <w:bCs/>
          <w:sz w:val="22"/>
          <w:szCs w:val="22"/>
        </w:rPr>
      </w:pPr>
      <w:r w:rsidRPr="008A08B5">
        <w:rPr>
          <w:rFonts w:ascii="Arial" w:hAnsi="Arial" w:cs="Arial"/>
          <w:b/>
          <w:bCs/>
          <w:sz w:val="22"/>
          <w:szCs w:val="22"/>
        </w:rPr>
        <w:t>Variables Transversales Interseccionales:</w:t>
      </w:r>
    </w:p>
    <w:p w14:paraId="039DBC69" w14:textId="77777777" w:rsidR="008A08B5" w:rsidRDefault="008A08B5" w:rsidP="008A08B5">
      <w:pPr>
        <w:spacing w:line="276" w:lineRule="auto"/>
        <w:ind w:left="142"/>
        <w:jc w:val="both"/>
        <w:rPr>
          <w:rFonts w:ascii="Arial" w:hAnsi="Arial" w:cs="Arial"/>
          <w:b/>
          <w:bCs/>
          <w:sz w:val="22"/>
          <w:szCs w:val="22"/>
        </w:rPr>
      </w:pPr>
    </w:p>
    <w:p w14:paraId="4F19045E" w14:textId="614A8A05"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Proximidad a Áreas de Especial Interés Ecológico:</w:t>
      </w:r>
      <w:r w:rsidRPr="008A08B5">
        <w:rPr>
          <w:rFonts w:ascii="Arial" w:hAnsi="Arial" w:cs="Arial"/>
          <w:sz w:val="22"/>
          <w:szCs w:val="22"/>
        </w:rPr>
        <w:t xml:space="preserve"> Distancia geométrica y traslape de la planeación sectorial con Parques Nacionales Naturales, zonas de Páramo delimitadas, Humedales Ramsar y Reservas Forestales.</w:t>
      </w:r>
    </w:p>
    <w:p w14:paraId="39500EB0" w14:textId="77777777" w:rsidR="008A08B5" w:rsidRPr="008A08B5" w:rsidRDefault="008A08B5" w:rsidP="008A08B5">
      <w:pPr>
        <w:spacing w:line="276" w:lineRule="auto"/>
        <w:ind w:left="142"/>
        <w:jc w:val="both"/>
        <w:rPr>
          <w:rFonts w:ascii="Arial" w:hAnsi="Arial" w:cs="Arial"/>
          <w:sz w:val="22"/>
          <w:szCs w:val="22"/>
        </w:rPr>
      </w:pPr>
    </w:p>
    <w:p w14:paraId="0DC972D4"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Uso del Suelo Tradicional y Ancestral:</w:t>
      </w:r>
      <w:r w:rsidRPr="008A08B5">
        <w:rPr>
          <w:rFonts w:ascii="Arial" w:hAnsi="Arial" w:cs="Arial"/>
          <w:sz w:val="22"/>
          <w:szCs w:val="22"/>
        </w:rPr>
        <w:t xml:space="preserve"> Identificación de áreas destinadas habitualmente por las comunidades locales para la conservación comunitaria, la recolección de especies nativas o el tránsito de fauna silvestre.</w:t>
      </w:r>
    </w:p>
    <w:p w14:paraId="55E3848B" w14:textId="77777777" w:rsidR="008A08B5" w:rsidRPr="008A08B5" w:rsidRDefault="008A08B5" w:rsidP="008A08B5">
      <w:pPr>
        <w:spacing w:line="276" w:lineRule="auto"/>
        <w:ind w:left="142"/>
        <w:jc w:val="both"/>
        <w:rPr>
          <w:rFonts w:ascii="Arial" w:hAnsi="Arial" w:cs="Arial"/>
          <w:sz w:val="22"/>
          <w:szCs w:val="22"/>
        </w:rPr>
      </w:pPr>
    </w:p>
    <w:p w14:paraId="0446D8FB"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Índice de Estrés Hídrico Local:</w:t>
      </w:r>
      <w:r w:rsidRPr="008A08B5">
        <w:rPr>
          <w:rFonts w:ascii="Arial" w:hAnsi="Arial" w:cs="Arial"/>
          <w:sz w:val="22"/>
          <w:szCs w:val="22"/>
        </w:rPr>
        <w:t xml:space="preserve"> Grado de presión sobre los recursos hídricos en las cuencas compartidas entre la actividad sectorial y el consumo doméstico o agropecuario de las poblaciones locales.</w:t>
      </w:r>
    </w:p>
    <w:p w14:paraId="5BCA5D32" w14:textId="77777777" w:rsidR="008A08B5" w:rsidRPr="008A08B5" w:rsidRDefault="008A08B5" w:rsidP="008A08B5">
      <w:pPr>
        <w:spacing w:line="276" w:lineRule="auto"/>
        <w:ind w:left="142"/>
        <w:jc w:val="both"/>
        <w:rPr>
          <w:rFonts w:ascii="Arial" w:hAnsi="Arial" w:cs="Arial"/>
          <w:sz w:val="22"/>
          <w:szCs w:val="22"/>
        </w:rPr>
      </w:pPr>
    </w:p>
    <w:p w14:paraId="2CFEBDDF" w14:textId="77777777" w:rsidR="008A08B5" w:rsidRP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Densidad Poblacional de Entornos Rurales:</w:t>
      </w:r>
      <w:r w:rsidRPr="008A08B5">
        <w:rPr>
          <w:rFonts w:ascii="Arial" w:hAnsi="Arial" w:cs="Arial"/>
          <w:sz w:val="22"/>
          <w:szCs w:val="22"/>
        </w:rPr>
        <w:t xml:space="preserve"> Concentración de asentamientos humanos dispersos o nucleados en áreas de influencia directa de proyectos ambientales sensibles.</w:t>
      </w:r>
    </w:p>
    <w:p w14:paraId="43C6DFB0" w14:textId="77777777" w:rsidR="008A08B5" w:rsidRPr="008A08B5" w:rsidRDefault="008A08B5" w:rsidP="008A08B5">
      <w:pPr>
        <w:spacing w:line="276" w:lineRule="auto"/>
        <w:ind w:left="142"/>
        <w:jc w:val="both"/>
        <w:rPr>
          <w:rFonts w:ascii="Arial" w:hAnsi="Arial" w:cs="Arial"/>
          <w:b/>
          <w:bCs/>
          <w:sz w:val="22"/>
          <w:szCs w:val="22"/>
        </w:rPr>
      </w:pPr>
    </w:p>
    <w:p w14:paraId="3F804E4F" w14:textId="77777777" w:rsidR="008A08B5" w:rsidRPr="008A08B5" w:rsidRDefault="008A08B5" w:rsidP="008A08B5">
      <w:pPr>
        <w:pStyle w:val="Prrafodelista"/>
        <w:numPr>
          <w:ilvl w:val="0"/>
          <w:numId w:val="86"/>
        </w:numPr>
        <w:spacing w:after="160" w:line="276" w:lineRule="auto"/>
        <w:ind w:left="142" w:firstLine="0"/>
        <w:jc w:val="both"/>
        <w:rPr>
          <w:rFonts w:ascii="Arial" w:hAnsi="Arial" w:cs="Arial"/>
          <w:b/>
          <w:bCs/>
          <w:sz w:val="22"/>
          <w:szCs w:val="22"/>
        </w:rPr>
      </w:pPr>
      <w:r w:rsidRPr="008A08B5">
        <w:rPr>
          <w:rFonts w:ascii="Arial" w:hAnsi="Arial" w:cs="Arial"/>
          <w:b/>
          <w:bCs/>
          <w:sz w:val="22"/>
          <w:szCs w:val="22"/>
        </w:rPr>
        <w:t>ENFOQUE DE VARIABILIDAD Y CAMBIO CLIMÁTICO.</w:t>
      </w:r>
    </w:p>
    <w:p w14:paraId="1658885B" w14:textId="77777777" w:rsidR="008A08B5" w:rsidRDefault="008A08B5" w:rsidP="008A08B5">
      <w:pPr>
        <w:spacing w:line="276" w:lineRule="auto"/>
        <w:ind w:left="142"/>
        <w:jc w:val="both"/>
        <w:rPr>
          <w:rFonts w:ascii="Arial" w:hAnsi="Arial" w:cs="Arial"/>
          <w:b/>
          <w:bCs/>
          <w:sz w:val="22"/>
          <w:szCs w:val="22"/>
        </w:rPr>
      </w:pPr>
    </w:p>
    <w:p w14:paraId="384911B4" w14:textId="411D2671"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Definición:</w:t>
      </w:r>
      <w:r w:rsidRPr="008A08B5">
        <w:rPr>
          <w:rFonts w:ascii="Arial" w:hAnsi="Arial" w:cs="Arial"/>
          <w:sz w:val="22"/>
          <w:szCs w:val="22"/>
        </w:rPr>
        <w:t xml:space="preserve"> Estrategia analítica orientada a incorporar escenarios de riesgo climático, mitigación de Gases de Efecto Invernadero y adaptación en la planeación indicativa del sector. Este enfoque constituye el núcleo técnico de la Transición Energética Justa, al evaluar la vulnerabilidad física de la infraestructura energética y la vulnerabilidad socioeconómica de las comunidades frente a amenazas hidrometeorológicas, promoviendo una matriz nacional descarbonizada y de alta resiliencia climática.</w:t>
      </w:r>
    </w:p>
    <w:p w14:paraId="3F891B1A" w14:textId="77777777" w:rsidR="008A08B5" w:rsidRPr="008A08B5" w:rsidRDefault="008A08B5" w:rsidP="008A08B5">
      <w:pPr>
        <w:spacing w:line="276" w:lineRule="auto"/>
        <w:ind w:left="142"/>
        <w:jc w:val="both"/>
        <w:rPr>
          <w:rFonts w:ascii="Arial" w:hAnsi="Arial" w:cs="Arial"/>
          <w:sz w:val="22"/>
          <w:szCs w:val="22"/>
        </w:rPr>
      </w:pPr>
    </w:p>
    <w:p w14:paraId="6638FA88" w14:textId="77777777" w:rsidR="008A08B5" w:rsidRP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lastRenderedPageBreak/>
        <w:t>Origen:</w:t>
      </w:r>
      <w:r w:rsidRPr="008A08B5">
        <w:rPr>
          <w:rFonts w:ascii="Arial" w:hAnsi="Arial" w:cs="Arial"/>
          <w:sz w:val="22"/>
          <w:szCs w:val="22"/>
        </w:rPr>
        <w:t xml:space="preserve"> Esta definición proviene formalmente de los instrumentos de política pública y planificación sectorial estructurados por la Unidad de Planeación Minero-Energética (UPME) y el Ministerio de Minas y Energía de Colombia, en estrecha articulación con las directrices de la Política Nacional de Cambio Climático (coordinada por el </w:t>
      </w:r>
      <w:hyperlink r:id="rId8" w:tgtFrame="_blank" w:history="1">
        <w:r w:rsidRPr="008A08B5">
          <w:rPr>
            <w:rStyle w:val="Hipervnculo"/>
            <w:rFonts w:ascii="Arial" w:hAnsi="Arial" w:cs="Arial"/>
            <w:color w:val="auto"/>
            <w:sz w:val="22"/>
            <w:szCs w:val="22"/>
            <w:u w:val="none"/>
          </w:rPr>
          <w:t>Ministerio de Ambiente</w:t>
        </w:r>
      </w:hyperlink>
      <w:r w:rsidRPr="008A08B5">
        <w:rPr>
          <w:rFonts w:ascii="Arial" w:hAnsi="Arial" w:cs="Arial"/>
          <w:sz w:val="22"/>
          <w:szCs w:val="22"/>
        </w:rPr>
        <w:t>).</w:t>
      </w:r>
    </w:p>
    <w:p w14:paraId="32F032EF" w14:textId="77777777" w:rsidR="008A08B5" w:rsidRPr="008A08B5" w:rsidRDefault="008A08B5" w:rsidP="008A08B5">
      <w:pPr>
        <w:spacing w:line="276" w:lineRule="auto"/>
        <w:ind w:left="142"/>
        <w:jc w:val="both"/>
        <w:rPr>
          <w:rFonts w:ascii="Arial" w:hAnsi="Arial" w:cs="Arial"/>
          <w:sz w:val="22"/>
          <w:szCs w:val="22"/>
        </w:rPr>
      </w:pPr>
    </w:p>
    <w:p w14:paraId="43DEDA82" w14:textId="77777777" w:rsidR="008A08B5" w:rsidRPr="008A08B5" w:rsidRDefault="008A08B5" w:rsidP="008A08B5">
      <w:pPr>
        <w:pStyle w:val="Prrafodelista"/>
        <w:numPr>
          <w:ilvl w:val="1"/>
          <w:numId w:val="86"/>
        </w:numPr>
        <w:spacing w:after="160" w:line="276" w:lineRule="auto"/>
        <w:ind w:left="142" w:firstLine="0"/>
        <w:jc w:val="both"/>
        <w:rPr>
          <w:rFonts w:ascii="Arial" w:hAnsi="Arial" w:cs="Arial"/>
          <w:b/>
          <w:bCs/>
          <w:sz w:val="22"/>
          <w:szCs w:val="22"/>
        </w:rPr>
      </w:pPr>
      <w:r w:rsidRPr="008A08B5">
        <w:rPr>
          <w:rFonts w:ascii="Arial" w:hAnsi="Arial" w:cs="Arial"/>
          <w:b/>
          <w:bCs/>
          <w:sz w:val="22"/>
          <w:szCs w:val="22"/>
        </w:rPr>
        <w:t>Variables Transversales Interseccionales:</w:t>
      </w:r>
    </w:p>
    <w:p w14:paraId="57718557"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Amenaza Hidrometeorológica Municipal:</w:t>
      </w:r>
      <w:r w:rsidRPr="008A08B5">
        <w:rPr>
          <w:rFonts w:ascii="Arial" w:hAnsi="Arial" w:cs="Arial"/>
          <w:sz w:val="22"/>
          <w:szCs w:val="22"/>
        </w:rPr>
        <w:t xml:space="preserve"> Nivel de exposición territorial a eventos extremos como inundaciones, movimientos en masa o sequías prolongadas vinculadas a los fenómenos de El Niño o La Niña.</w:t>
      </w:r>
    </w:p>
    <w:p w14:paraId="2BFA0541" w14:textId="77777777" w:rsidR="008A08B5" w:rsidRPr="008A08B5" w:rsidRDefault="008A08B5" w:rsidP="008A08B5">
      <w:pPr>
        <w:spacing w:line="276" w:lineRule="auto"/>
        <w:ind w:left="142"/>
        <w:jc w:val="both"/>
        <w:rPr>
          <w:rFonts w:ascii="Arial" w:hAnsi="Arial" w:cs="Arial"/>
          <w:sz w:val="22"/>
          <w:szCs w:val="22"/>
        </w:rPr>
      </w:pPr>
    </w:p>
    <w:p w14:paraId="39154BD3"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Capacidad de Adaptación Tecnológica Institucional:</w:t>
      </w:r>
      <w:r w:rsidRPr="008A08B5">
        <w:rPr>
          <w:rFonts w:ascii="Arial" w:hAnsi="Arial" w:cs="Arial"/>
          <w:sz w:val="22"/>
          <w:szCs w:val="22"/>
        </w:rPr>
        <w:t xml:space="preserve"> Nivel de acceso de las comunidades y los gobiernos locales a sistemas de alerta temprana, infraestructura adaptada y fuentes de energía de respaldo frente a fallas del sistema principal.</w:t>
      </w:r>
    </w:p>
    <w:p w14:paraId="23CD668C" w14:textId="77777777" w:rsidR="008A08B5" w:rsidRPr="008A08B5" w:rsidRDefault="008A08B5" w:rsidP="008A08B5">
      <w:pPr>
        <w:spacing w:line="276" w:lineRule="auto"/>
        <w:ind w:left="142"/>
        <w:jc w:val="both"/>
        <w:rPr>
          <w:rFonts w:ascii="Arial" w:hAnsi="Arial" w:cs="Arial"/>
          <w:sz w:val="22"/>
          <w:szCs w:val="22"/>
        </w:rPr>
      </w:pPr>
    </w:p>
    <w:p w14:paraId="010AA2BE"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 xml:space="preserve">Resiliencia Económica Territorial: </w:t>
      </w:r>
      <w:r w:rsidRPr="008A08B5">
        <w:rPr>
          <w:rFonts w:ascii="Arial" w:hAnsi="Arial" w:cs="Arial"/>
          <w:sz w:val="22"/>
          <w:szCs w:val="22"/>
        </w:rPr>
        <w:t>Grado de diversificación de los ingresos locales que permite a la población recuperarse económicamente tras la ocurrencia de un desastre climático que afecte la infraestructura energética.</w:t>
      </w:r>
    </w:p>
    <w:p w14:paraId="55EFE509" w14:textId="77777777" w:rsidR="008A08B5" w:rsidRPr="008A08B5" w:rsidRDefault="008A08B5" w:rsidP="008A08B5">
      <w:pPr>
        <w:spacing w:line="276" w:lineRule="auto"/>
        <w:ind w:left="142"/>
        <w:jc w:val="both"/>
        <w:rPr>
          <w:rFonts w:ascii="Arial" w:hAnsi="Arial" w:cs="Arial"/>
          <w:sz w:val="22"/>
          <w:szCs w:val="22"/>
        </w:rPr>
      </w:pPr>
    </w:p>
    <w:p w14:paraId="1011F246" w14:textId="77777777" w:rsidR="008A08B5" w:rsidRP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Intensidad de Emisiones Sectoriales</w:t>
      </w:r>
      <w:r w:rsidRPr="008A08B5">
        <w:rPr>
          <w:rFonts w:ascii="Arial" w:hAnsi="Arial" w:cs="Arial"/>
          <w:sz w:val="22"/>
          <w:szCs w:val="22"/>
        </w:rPr>
        <w:t>: Medición de las toneladas de dióxido de carbono equivalente generadas por unidad de energía en los territorios de planificación.</w:t>
      </w:r>
    </w:p>
    <w:p w14:paraId="1B881118" w14:textId="77777777" w:rsidR="008A08B5" w:rsidRPr="008A08B5" w:rsidRDefault="008A08B5" w:rsidP="008A08B5">
      <w:pPr>
        <w:spacing w:line="276" w:lineRule="auto"/>
        <w:ind w:left="142"/>
        <w:jc w:val="both"/>
        <w:rPr>
          <w:rFonts w:ascii="Arial" w:hAnsi="Arial" w:cs="Arial"/>
          <w:b/>
          <w:bCs/>
          <w:sz w:val="22"/>
          <w:szCs w:val="22"/>
        </w:rPr>
      </w:pPr>
    </w:p>
    <w:p w14:paraId="4E048465" w14:textId="77777777" w:rsidR="008A08B5" w:rsidRPr="008A08B5" w:rsidRDefault="008A08B5" w:rsidP="008A08B5">
      <w:pPr>
        <w:pStyle w:val="Prrafodelista"/>
        <w:numPr>
          <w:ilvl w:val="0"/>
          <w:numId w:val="86"/>
        </w:numPr>
        <w:spacing w:after="160" w:line="276" w:lineRule="auto"/>
        <w:ind w:left="142" w:firstLine="0"/>
        <w:jc w:val="both"/>
        <w:rPr>
          <w:rFonts w:ascii="Arial" w:hAnsi="Arial" w:cs="Arial"/>
          <w:b/>
          <w:bCs/>
          <w:sz w:val="22"/>
          <w:szCs w:val="22"/>
        </w:rPr>
      </w:pPr>
      <w:r w:rsidRPr="008A08B5">
        <w:rPr>
          <w:rFonts w:ascii="Arial" w:hAnsi="Arial" w:cs="Arial"/>
          <w:b/>
          <w:bCs/>
          <w:sz w:val="22"/>
          <w:szCs w:val="22"/>
        </w:rPr>
        <w:t>ENFOQUE DE SEGURIDAD Y SOBERANÍA ALIMENTARIA</w:t>
      </w:r>
    </w:p>
    <w:p w14:paraId="1E580181" w14:textId="77777777" w:rsidR="008A08B5" w:rsidRP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Definición:</w:t>
      </w:r>
      <w:r w:rsidRPr="008A08B5">
        <w:rPr>
          <w:rFonts w:ascii="Arial" w:hAnsi="Arial" w:cs="Arial"/>
          <w:sz w:val="22"/>
          <w:szCs w:val="22"/>
        </w:rPr>
        <w:t xml:space="preserve"> Dimensión de análisis transversal que evalúa y previene las dinámicas de competencia, afectación o desplazamiento que la actividad minero-energética pueda ejercer sobre los sistemas agroalimentarios locales. Se enfoca en garantizar que la planificación de proyectos a gran escala no vulnere los cuatro pilares fundamentales del abastecimiento en el territorio: la disponibilidad física, el acceso económico y social, la utilización biológica y la estabilidad temporal en el suministro de alimentos para las comunidades del área de influencia.</w:t>
      </w:r>
    </w:p>
    <w:p w14:paraId="313E75C0"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Origen:</w:t>
      </w:r>
      <w:r w:rsidRPr="008A08B5">
        <w:rPr>
          <w:rFonts w:ascii="Arial" w:hAnsi="Arial" w:cs="Arial"/>
          <w:sz w:val="22"/>
          <w:szCs w:val="22"/>
        </w:rPr>
        <w:t xml:space="preserve"> Esta definición proviene del marco conceptual y metodológico desarrollado por la Unidad de Planeación Minero-Energética (UPME) y el Ministerio de Minas y Energía de Colombia, estructurado en articulación técnica con las directrices de la </w:t>
      </w:r>
      <w:hyperlink r:id="rId9" w:tgtFrame="_blank" w:history="1">
        <w:r w:rsidRPr="008A08B5">
          <w:rPr>
            <w:rStyle w:val="Hipervnculo"/>
            <w:rFonts w:ascii="Arial" w:hAnsi="Arial" w:cs="Arial"/>
            <w:color w:val="auto"/>
            <w:sz w:val="22"/>
            <w:szCs w:val="22"/>
            <w:u w:val="none"/>
          </w:rPr>
          <w:t>Organización de las Naciones Unidas para la Alimentación y la Agricultura (FAO)</w:t>
        </w:r>
      </w:hyperlink>
      <w:r w:rsidRPr="008A08B5">
        <w:rPr>
          <w:rFonts w:ascii="Arial" w:hAnsi="Arial" w:cs="Arial"/>
          <w:sz w:val="22"/>
          <w:szCs w:val="22"/>
        </w:rPr>
        <w:t xml:space="preserve"> y el Plan Nacional de Seguridad Alimentaria y Nutricional. </w:t>
      </w:r>
    </w:p>
    <w:p w14:paraId="7CAA2728" w14:textId="77777777" w:rsidR="008A08B5" w:rsidRPr="008A08B5" w:rsidRDefault="008A08B5" w:rsidP="008A08B5">
      <w:pPr>
        <w:spacing w:line="276" w:lineRule="auto"/>
        <w:ind w:left="142"/>
        <w:jc w:val="both"/>
        <w:rPr>
          <w:rFonts w:ascii="Arial" w:hAnsi="Arial" w:cs="Arial"/>
          <w:sz w:val="22"/>
          <w:szCs w:val="22"/>
        </w:rPr>
      </w:pPr>
    </w:p>
    <w:p w14:paraId="44380FF4" w14:textId="77777777" w:rsidR="008A08B5" w:rsidRPr="008A08B5" w:rsidRDefault="008A08B5" w:rsidP="008A08B5">
      <w:pPr>
        <w:spacing w:line="276" w:lineRule="auto"/>
        <w:ind w:left="142"/>
        <w:jc w:val="both"/>
        <w:rPr>
          <w:rFonts w:ascii="Arial" w:hAnsi="Arial" w:cs="Arial"/>
          <w:sz w:val="22"/>
          <w:szCs w:val="22"/>
        </w:rPr>
      </w:pPr>
      <w:r w:rsidRPr="008A08B5">
        <w:rPr>
          <w:rFonts w:ascii="Arial" w:hAnsi="Arial" w:cs="Arial"/>
          <w:sz w:val="22"/>
          <w:szCs w:val="22"/>
        </w:rPr>
        <w:t xml:space="preserve">Este numeral representa una adición innovadora a los enfoques de planificación territorial del sector en Colombia. Tradicionalmente, la expansión energética solo medía impactos ambientales </w:t>
      </w:r>
      <w:r w:rsidRPr="008A08B5">
        <w:rPr>
          <w:rFonts w:ascii="Arial" w:hAnsi="Arial" w:cs="Arial"/>
          <w:sz w:val="22"/>
          <w:szCs w:val="22"/>
        </w:rPr>
        <w:lastRenderedPageBreak/>
        <w:t>o prediales directos; este enfoque eleva la protección del suelo agrícola y el abastecimiento de alimentos al nivel de una variable técnica de viabilidad.</w:t>
      </w:r>
    </w:p>
    <w:p w14:paraId="35C8EF3D" w14:textId="77777777" w:rsidR="008A08B5" w:rsidRPr="008A08B5" w:rsidRDefault="008A08B5" w:rsidP="008A08B5">
      <w:pPr>
        <w:spacing w:line="276" w:lineRule="auto"/>
        <w:ind w:left="142"/>
        <w:jc w:val="both"/>
        <w:rPr>
          <w:rFonts w:ascii="Arial" w:hAnsi="Arial" w:cs="Arial"/>
          <w:sz w:val="22"/>
          <w:szCs w:val="22"/>
        </w:rPr>
      </w:pPr>
    </w:p>
    <w:p w14:paraId="788ECAB4" w14:textId="77777777" w:rsidR="008A08B5" w:rsidRPr="008A08B5" w:rsidRDefault="008A08B5" w:rsidP="008A08B5">
      <w:pPr>
        <w:pStyle w:val="Prrafodelista"/>
        <w:numPr>
          <w:ilvl w:val="1"/>
          <w:numId w:val="86"/>
        </w:numPr>
        <w:spacing w:after="160" w:line="276" w:lineRule="auto"/>
        <w:ind w:left="142" w:firstLine="0"/>
        <w:jc w:val="both"/>
        <w:rPr>
          <w:rFonts w:ascii="Arial" w:hAnsi="Arial" w:cs="Arial"/>
          <w:b/>
          <w:bCs/>
          <w:sz w:val="22"/>
          <w:szCs w:val="22"/>
        </w:rPr>
      </w:pPr>
      <w:r w:rsidRPr="008A08B5">
        <w:rPr>
          <w:rFonts w:ascii="Arial" w:hAnsi="Arial" w:cs="Arial"/>
          <w:b/>
          <w:bCs/>
          <w:sz w:val="22"/>
          <w:szCs w:val="22"/>
        </w:rPr>
        <w:t>Variables Transversales Interseccionales:</w:t>
      </w:r>
    </w:p>
    <w:p w14:paraId="5CEA5A3F" w14:textId="77777777" w:rsidR="008A08B5" w:rsidRDefault="008A08B5" w:rsidP="008A08B5">
      <w:pPr>
        <w:spacing w:line="276" w:lineRule="auto"/>
        <w:ind w:left="142"/>
        <w:jc w:val="both"/>
        <w:rPr>
          <w:rFonts w:ascii="Arial" w:hAnsi="Arial" w:cs="Arial"/>
          <w:b/>
          <w:bCs/>
          <w:sz w:val="22"/>
          <w:szCs w:val="22"/>
        </w:rPr>
      </w:pPr>
    </w:p>
    <w:p w14:paraId="1903498A" w14:textId="26AD2ED5" w:rsidR="008A08B5" w:rsidRP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 xml:space="preserve">Vocación Agrológica del Suelo frente a Uso Sectorial: </w:t>
      </w:r>
      <w:r w:rsidRPr="008A08B5">
        <w:rPr>
          <w:rFonts w:ascii="Arial" w:hAnsi="Arial" w:cs="Arial"/>
          <w:sz w:val="22"/>
          <w:szCs w:val="22"/>
        </w:rPr>
        <w:t>Clasificación de la capacidad de uso de las tierras según estándares oficiales, cruzando suelos de alta productividad agrícola con polígonos de títulos mineros o proyectos de generación energética.</w:t>
      </w:r>
    </w:p>
    <w:p w14:paraId="2E28E736" w14:textId="77777777" w:rsidR="008A08B5" w:rsidRPr="008A08B5" w:rsidRDefault="008A08B5" w:rsidP="008A08B5">
      <w:pPr>
        <w:spacing w:line="276" w:lineRule="auto"/>
        <w:ind w:left="142"/>
        <w:jc w:val="both"/>
        <w:rPr>
          <w:rFonts w:ascii="Arial" w:hAnsi="Arial" w:cs="Arial"/>
          <w:sz w:val="22"/>
          <w:szCs w:val="22"/>
        </w:rPr>
      </w:pPr>
    </w:p>
    <w:p w14:paraId="723ABF4E"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Disponibilidad de Agua para Riego Comunitario:</w:t>
      </w:r>
      <w:r w:rsidRPr="008A08B5">
        <w:rPr>
          <w:rFonts w:ascii="Arial" w:hAnsi="Arial" w:cs="Arial"/>
          <w:sz w:val="22"/>
          <w:szCs w:val="22"/>
        </w:rPr>
        <w:t xml:space="preserve"> Caudal y volumen de agua superficial o subterránea asignado por las autoridades ambientales para la producción de alimentos locales en áreas compartidas con el sector.</w:t>
      </w:r>
    </w:p>
    <w:p w14:paraId="64A9A3F3" w14:textId="77777777" w:rsidR="008A08B5" w:rsidRPr="008A08B5" w:rsidRDefault="008A08B5" w:rsidP="008A08B5">
      <w:pPr>
        <w:spacing w:line="276" w:lineRule="auto"/>
        <w:ind w:left="142"/>
        <w:jc w:val="both"/>
        <w:rPr>
          <w:rFonts w:ascii="Arial" w:hAnsi="Arial" w:cs="Arial"/>
          <w:sz w:val="22"/>
          <w:szCs w:val="22"/>
        </w:rPr>
      </w:pPr>
    </w:p>
    <w:p w14:paraId="52CA187C" w14:textId="77777777" w:rsid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Dependencia Económica del Enclave Extractivo:</w:t>
      </w:r>
      <w:r w:rsidRPr="008A08B5">
        <w:rPr>
          <w:rFonts w:ascii="Arial" w:hAnsi="Arial" w:cs="Arial"/>
          <w:sz w:val="22"/>
          <w:szCs w:val="22"/>
        </w:rPr>
        <w:t xml:space="preserve"> Grado de sustitución de las economías agrícolas locales por la economía de servicios o empleo directo derivado de la actividad minera o de hidrocarburos.</w:t>
      </w:r>
    </w:p>
    <w:p w14:paraId="31E4450F" w14:textId="77777777" w:rsidR="008A08B5" w:rsidRPr="008A08B5" w:rsidRDefault="008A08B5" w:rsidP="008A08B5">
      <w:pPr>
        <w:spacing w:line="276" w:lineRule="auto"/>
        <w:ind w:left="142"/>
        <w:jc w:val="both"/>
        <w:rPr>
          <w:rFonts w:ascii="Arial" w:hAnsi="Arial" w:cs="Arial"/>
          <w:sz w:val="22"/>
          <w:szCs w:val="22"/>
        </w:rPr>
      </w:pPr>
    </w:p>
    <w:p w14:paraId="2E1A1E58" w14:textId="77777777" w:rsidR="008A08B5" w:rsidRPr="008A08B5" w:rsidRDefault="008A08B5" w:rsidP="008A08B5">
      <w:pPr>
        <w:spacing w:line="276" w:lineRule="auto"/>
        <w:ind w:left="142"/>
        <w:jc w:val="both"/>
        <w:rPr>
          <w:rFonts w:ascii="Arial" w:hAnsi="Arial" w:cs="Arial"/>
          <w:sz w:val="22"/>
          <w:szCs w:val="22"/>
        </w:rPr>
      </w:pPr>
      <w:r w:rsidRPr="008A08B5">
        <w:rPr>
          <w:rFonts w:ascii="Arial" w:hAnsi="Arial" w:cs="Arial"/>
          <w:b/>
          <w:bCs/>
          <w:sz w:val="22"/>
          <w:szCs w:val="22"/>
        </w:rPr>
        <w:t>Índice de Precios de Alimentos Locales:</w:t>
      </w:r>
      <w:r w:rsidRPr="008A08B5">
        <w:rPr>
          <w:rFonts w:ascii="Arial" w:hAnsi="Arial" w:cs="Arial"/>
          <w:sz w:val="22"/>
          <w:szCs w:val="22"/>
        </w:rPr>
        <w:t xml:space="preserve"> Fluctuación del costo de la canasta básica alimentaria en las zonas de desarrollo de proyectos debido a la presión demográfica o cambios en el uso del suelo.</w:t>
      </w:r>
    </w:p>
    <w:p w14:paraId="3B0AF2E1" w14:textId="77777777" w:rsidR="008A08B5" w:rsidRPr="008A08B5" w:rsidRDefault="008A08B5" w:rsidP="008A08B5">
      <w:pPr>
        <w:spacing w:line="276" w:lineRule="auto"/>
        <w:ind w:left="142"/>
        <w:jc w:val="both"/>
        <w:rPr>
          <w:rFonts w:ascii="Arial" w:hAnsi="Arial" w:cs="Arial"/>
          <w:b/>
          <w:bCs/>
          <w:sz w:val="22"/>
          <w:szCs w:val="22"/>
        </w:rPr>
      </w:pPr>
    </w:p>
    <w:p w14:paraId="2E148492" w14:textId="77777777" w:rsidR="008A08B5" w:rsidRPr="008A08B5" w:rsidRDefault="008A08B5" w:rsidP="008A08B5">
      <w:pPr>
        <w:pStyle w:val="Prrafodelista"/>
        <w:numPr>
          <w:ilvl w:val="0"/>
          <w:numId w:val="86"/>
        </w:numPr>
        <w:ind w:left="142" w:firstLine="0"/>
        <w:jc w:val="both"/>
        <w:rPr>
          <w:rFonts w:ascii="Arial" w:eastAsia="Times New Roman" w:hAnsi="Arial" w:cs="Arial"/>
          <w:b/>
          <w:bCs/>
          <w:sz w:val="22"/>
          <w:szCs w:val="22"/>
          <w:lang w:eastAsia="es-CO"/>
        </w:rPr>
      </w:pPr>
      <w:r w:rsidRPr="008A08B5">
        <w:rPr>
          <w:rFonts w:ascii="Arial" w:eastAsia="Times New Roman" w:hAnsi="Arial" w:cs="Arial"/>
          <w:b/>
          <w:bCs/>
          <w:sz w:val="22"/>
          <w:szCs w:val="22"/>
          <w:lang w:eastAsia="es-CO"/>
        </w:rPr>
        <w:t>BIBLIOGRAFÍA Y NORMATIVA (CONSOLIDADA Y COMPLEMENTADA)</w:t>
      </w:r>
    </w:p>
    <w:p w14:paraId="642E9EEB" w14:textId="77777777" w:rsidR="008A08B5" w:rsidRPr="008A08B5" w:rsidRDefault="008A08B5" w:rsidP="008A08B5">
      <w:pPr>
        <w:pStyle w:val="Prrafodelista"/>
        <w:ind w:left="0"/>
        <w:jc w:val="both"/>
        <w:rPr>
          <w:rFonts w:ascii="Arial" w:eastAsia="Times New Roman" w:hAnsi="Arial" w:cs="Arial"/>
          <w:b/>
          <w:bCs/>
          <w:sz w:val="22"/>
          <w:szCs w:val="22"/>
          <w:lang w:eastAsia="es-CO"/>
        </w:rPr>
      </w:pPr>
    </w:p>
    <w:p w14:paraId="74468B98" w14:textId="77777777" w:rsidR="008A08B5" w:rsidRDefault="008A08B5" w:rsidP="008A08B5">
      <w:pPr>
        <w:jc w:val="both"/>
        <w:rPr>
          <w:rFonts w:ascii="Arial" w:eastAsia="Times New Roman" w:hAnsi="Arial" w:cs="Arial"/>
          <w:b/>
          <w:bCs/>
          <w:sz w:val="22"/>
          <w:szCs w:val="22"/>
          <w:lang w:eastAsia="es-CO"/>
        </w:rPr>
      </w:pPr>
    </w:p>
    <w:p w14:paraId="6B937AF4" w14:textId="66415AD5" w:rsid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Agencia de Renovación del Territorio - ART.</w:t>
      </w:r>
      <w:r w:rsidRPr="008A08B5">
        <w:rPr>
          <w:rFonts w:ascii="Arial" w:eastAsia="Times New Roman" w:hAnsi="Arial" w:cs="Arial"/>
          <w:sz w:val="22"/>
          <w:szCs w:val="22"/>
          <w:lang w:eastAsia="es-CO"/>
        </w:rPr>
        <w:t xml:space="preserve"> (2018). </w:t>
      </w:r>
      <w:r w:rsidRPr="008A08B5">
        <w:rPr>
          <w:rFonts w:ascii="Arial" w:eastAsia="Times New Roman" w:hAnsi="Arial" w:cs="Arial"/>
          <w:i/>
          <w:iCs/>
          <w:sz w:val="22"/>
          <w:szCs w:val="22"/>
          <w:lang w:eastAsia="es-CO"/>
        </w:rPr>
        <w:t>Planes de Acción para la Transformación Regional (PATR)</w:t>
      </w:r>
      <w:r w:rsidRPr="008A08B5">
        <w:rPr>
          <w:rFonts w:ascii="Arial" w:eastAsia="Times New Roman" w:hAnsi="Arial" w:cs="Arial"/>
          <w:sz w:val="22"/>
          <w:szCs w:val="22"/>
          <w:lang w:eastAsia="es-CO"/>
        </w:rPr>
        <w:t xml:space="preserve">. Bogotá D.C.: ART. </w:t>
      </w:r>
      <w:r w:rsidRPr="008A08B5">
        <w:rPr>
          <w:rFonts w:ascii="Arial" w:eastAsia="Times New Roman" w:hAnsi="Arial" w:cs="Arial"/>
          <w:i/>
          <w:iCs/>
          <w:sz w:val="22"/>
          <w:szCs w:val="22"/>
          <w:lang w:eastAsia="es-CO"/>
        </w:rPr>
        <w:t>(Eje de articulación para las variables de vulnerabilidad en zonas PDET)</w:t>
      </w:r>
      <w:r w:rsidRPr="008A08B5">
        <w:rPr>
          <w:rFonts w:ascii="Arial" w:eastAsia="Times New Roman" w:hAnsi="Arial" w:cs="Arial"/>
          <w:sz w:val="22"/>
          <w:szCs w:val="22"/>
          <w:lang w:eastAsia="es-CO"/>
        </w:rPr>
        <w:t>.</w:t>
      </w:r>
    </w:p>
    <w:p w14:paraId="5B444CC0" w14:textId="77777777" w:rsidR="008A08B5" w:rsidRPr="008A08B5" w:rsidRDefault="008A08B5" w:rsidP="008A08B5">
      <w:pPr>
        <w:ind w:left="142"/>
        <w:jc w:val="both"/>
        <w:rPr>
          <w:rFonts w:ascii="Arial" w:eastAsia="Times New Roman" w:hAnsi="Arial" w:cs="Arial"/>
          <w:sz w:val="22"/>
          <w:szCs w:val="22"/>
          <w:lang w:eastAsia="es-CO"/>
        </w:rPr>
      </w:pPr>
    </w:p>
    <w:p w14:paraId="13E0DDD3" w14:textId="77777777"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Congreso de la República de Colombia.</w:t>
      </w:r>
      <w:r w:rsidRPr="008A08B5">
        <w:rPr>
          <w:rFonts w:ascii="Arial" w:eastAsia="Times New Roman" w:hAnsi="Arial" w:cs="Arial"/>
          <w:sz w:val="22"/>
          <w:szCs w:val="22"/>
          <w:lang w:eastAsia="es-CO"/>
        </w:rPr>
        <w:t xml:space="preserve"> (1993). </w:t>
      </w:r>
      <w:r w:rsidRPr="008A08B5">
        <w:rPr>
          <w:rFonts w:ascii="Arial" w:eastAsia="Times New Roman" w:hAnsi="Arial" w:cs="Arial"/>
          <w:i/>
          <w:iCs/>
          <w:sz w:val="22"/>
          <w:szCs w:val="22"/>
          <w:lang w:eastAsia="es-CO"/>
        </w:rPr>
        <w:t>Ley 99 de 1993: Por la cual se crea el Ministerio del Medio Ambiente, se reordena el Sector Público encargado de la gestión y conservación del medio ambiente y los recursos naturales renovables</w:t>
      </w:r>
      <w:r w:rsidRPr="008A08B5">
        <w:rPr>
          <w:rFonts w:ascii="Arial" w:eastAsia="Times New Roman" w:hAnsi="Arial" w:cs="Arial"/>
          <w:sz w:val="22"/>
          <w:szCs w:val="22"/>
          <w:lang w:eastAsia="es-CO"/>
        </w:rPr>
        <w:t>. Diario Oficial No. 41.146.</w:t>
      </w:r>
    </w:p>
    <w:p w14:paraId="5CC50240" w14:textId="77777777" w:rsidR="008A08B5" w:rsidRDefault="008A08B5" w:rsidP="008A08B5">
      <w:pPr>
        <w:jc w:val="both"/>
        <w:rPr>
          <w:rFonts w:ascii="Arial" w:eastAsia="Times New Roman" w:hAnsi="Arial" w:cs="Arial"/>
          <w:b/>
          <w:bCs/>
          <w:sz w:val="22"/>
          <w:szCs w:val="22"/>
          <w:lang w:eastAsia="es-CO"/>
        </w:rPr>
      </w:pPr>
    </w:p>
    <w:p w14:paraId="34AAB2CE" w14:textId="51664DD7"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Congreso de la República de Colombia.</w:t>
      </w:r>
      <w:r w:rsidRPr="008A08B5">
        <w:rPr>
          <w:rFonts w:ascii="Arial" w:eastAsia="Times New Roman" w:hAnsi="Arial" w:cs="Arial"/>
          <w:sz w:val="22"/>
          <w:szCs w:val="22"/>
          <w:lang w:eastAsia="es-CO"/>
        </w:rPr>
        <w:t xml:space="preserve"> (2012). </w:t>
      </w:r>
      <w:r w:rsidRPr="008A08B5">
        <w:rPr>
          <w:rFonts w:ascii="Arial" w:eastAsia="Times New Roman" w:hAnsi="Arial" w:cs="Arial"/>
          <w:i/>
          <w:iCs/>
          <w:sz w:val="22"/>
          <w:szCs w:val="22"/>
          <w:lang w:eastAsia="es-CO"/>
        </w:rPr>
        <w:t>Ley Estatutaria 1581 de 2012: Por la cual se dictan disposiciones generales para la protección de datos personales</w:t>
      </w:r>
      <w:r w:rsidRPr="008A08B5">
        <w:rPr>
          <w:rFonts w:ascii="Arial" w:eastAsia="Times New Roman" w:hAnsi="Arial" w:cs="Arial"/>
          <w:sz w:val="22"/>
          <w:szCs w:val="22"/>
          <w:lang w:eastAsia="es-CO"/>
        </w:rPr>
        <w:t>. Diario Oficial No. 48.587.</w:t>
      </w:r>
    </w:p>
    <w:p w14:paraId="1244D391" w14:textId="77777777" w:rsidR="008A08B5" w:rsidRDefault="008A08B5" w:rsidP="008A08B5">
      <w:pPr>
        <w:jc w:val="both"/>
        <w:rPr>
          <w:rFonts w:ascii="Arial" w:eastAsia="Times New Roman" w:hAnsi="Arial" w:cs="Arial"/>
          <w:b/>
          <w:bCs/>
          <w:sz w:val="22"/>
          <w:szCs w:val="22"/>
          <w:lang w:eastAsia="es-CO"/>
        </w:rPr>
      </w:pPr>
    </w:p>
    <w:p w14:paraId="139A69CC" w14:textId="0CF44697"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Congreso de la República de Colombia.</w:t>
      </w:r>
      <w:r w:rsidRPr="008A08B5">
        <w:rPr>
          <w:rFonts w:ascii="Arial" w:eastAsia="Times New Roman" w:hAnsi="Arial" w:cs="Arial"/>
          <w:sz w:val="22"/>
          <w:szCs w:val="22"/>
          <w:lang w:eastAsia="es-CO"/>
        </w:rPr>
        <w:t xml:space="preserve"> (2018). </w:t>
      </w:r>
      <w:r w:rsidRPr="008A08B5">
        <w:rPr>
          <w:rFonts w:ascii="Arial" w:eastAsia="Times New Roman" w:hAnsi="Arial" w:cs="Arial"/>
          <w:i/>
          <w:iCs/>
          <w:sz w:val="22"/>
          <w:szCs w:val="22"/>
          <w:lang w:eastAsia="es-CO"/>
        </w:rPr>
        <w:t>Ley 1931 de 2018: Por la cual se establecen directrices para la gestión del cambio climático</w:t>
      </w:r>
      <w:r w:rsidRPr="008A08B5">
        <w:rPr>
          <w:rFonts w:ascii="Arial" w:eastAsia="Times New Roman" w:hAnsi="Arial" w:cs="Arial"/>
          <w:sz w:val="22"/>
          <w:szCs w:val="22"/>
          <w:lang w:eastAsia="es-CO"/>
        </w:rPr>
        <w:t>. Diario Oficial No. 50.667.</w:t>
      </w:r>
    </w:p>
    <w:p w14:paraId="2AF80577" w14:textId="77777777" w:rsidR="008A08B5" w:rsidRDefault="008A08B5" w:rsidP="008A08B5">
      <w:pPr>
        <w:jc w:val="both"/>
        <w:rPr>
          <w:rFonts w:ascii="Arial" w:eastAsia="Times New Roman" w:hAnsi="Arial" w:cs="Arial"/>
          <w:b/>
          <w:bCs/>
          <w:sz w:val="22"/>
          <w:szCs w:val="22"/>
          <w:lang w:eastAsia="es-CO"/>
        </w:rPr>
      </w:pPr>
    </w:p>
    <w:p w14:paraId="25D96C3C" w14:textId="75752ACE"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lastRenderedPageBreak/>
        <w:t>Corte Constitucional de Colombia.</w:t>
      </w:r>
      <w:r w:rsidRPr="008A08B5">
        <w:rPr>
          <w:rFonts w:ascii="Arial" w:eastAsia="Times New Roman" w:hAnsi="Arial" w:cs="Arial"/>
          <w:sz w:val="22"/>
          <w:szCs w:val="22"/>
          <w:lang w:eastAsia="es-CO"/>
        </w:rPr>
        <w:t xml:space="preserve"> (2018). </w:t>
      </w:r>
      <w:r w:rsidRPr="008A08B5">
        <w:rPr>
          <w:rFonts w:ascii="Arial" w:eastAsia="Times New Roman" w:hAnsi="Arial" w:cs="Arial"/>
          <w:i/>
          <w:iCs/>
          <w:sz w:val="22"/>
          <w:szCs w:val="22"/>
          <w:lang w:eastAsia="es-CO"/>
        </w:rPr>
        <w:t>Sentencia Unificada SU-123 de 2018</w:t>
      </w:r>
      <w:r w:rsidRPr="008A08B5">
        <w:rPr>
          <w:rFonts w:ascii="Arial" w:eastAsia="Times New Roman" w:hAnsi="Arial" w:cs="Arial"/>
          <w:sz w:val="22"/>
          <w:szCs w:val="22"/>
          <w:lang w:eastAsia="es-CO"/>
        </w:rPr>
        <w:t xml:space="preserve"> (M.P. Rodrigo Uprimny Yepes; de la consulta previa al consentimiento previo, libre e informado en proyectos extractivos). Bogotá D.C.</w:t>
      </w:r>
    </w:p>
    <w:p w14:paraId="164B87D6" w14:textId="77777777" w:rsidR="008A08B5" w:rsidRDefault="008A08B5" w:rsidP="008A08B5">
      <w:pPr>
        <w:jc w:val="both"/>
        <w:rPr>
          <w:rFonts w:ascii="Arial" w:eastAsia="Times New Roman" w:hAnsi="Arial" w:cs="Arial"/>
          <w:b/>
          <w:bCs/>
          <w:sz w:val="22"/>
          <w:szCs w:val="22"/>
          <w:lang w:eastAsia="es-CO"/>
        </w:rPr>
      </w:pPr>
    </w:p>
    <w:p w14:paraId="211A0B52" w14:textId="07F67DFA"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Corte Constitucional de Colombia.</w:t>
      </w:r>
      <w:r w:rsidRPr="008A08B5">
        <w:rPr>
          <w:rFonts w:ascii="Arial" w:eastAsia="Times New Roman" w:hAnsi="Arial" w:cs="Arial"/>
          <w:sz w:val="22"/>
          <w:szCs w:val="22"/>
          <w:lang w:eastAsia="es-CO"/>
        </w:rPr>
        <w:t xml:space="preserve"> (2021). </w:t>
      </w:r>
      <w:r w:rsidRPr="008A08B5">
        <w:rPr>
          <w:rFonts w:ascii="Arial" w:eastAsia="Times New Roman" w:hAnsi="Arial" w:cs="Arial"/>
          <w:i/>
          <w:iCs/>
          <w:sz w:val="22"/>
          <w:szCs w:val="22"/>
          <w:lang w:eastAsia="es-CO"/>
        </w:rPr>
        <w:t>Sentencia T-021 de 2021</w:t>
      </w:r>
      <w:r w:rsidRPr="008A08B5">
        <w:rPr>
          <w:rFonts w:ascii="Arial" w:eastAsia="Times New Roman" w:hAnsi="Arial" w:cs="Arial"/>
          <w:sz w:val="22"/>
          <w:szCs w:val="22"/>
          <w:lang w:eastAsia="es-CO"/>
        </w:rPr>
        <w:t xml:space="preserve"> (M.P. Alberto Rojas Ríos; sobre el enfoque diferencial y la protección de comunidades NARP frente a proyectos de desarrollo). Bogotá D.C.</w:t>
      </w:r>
    </w:p>
    <w:p w14:paraId="1C890647" w14:textId="77777777" w:rsidR="008A08B5" w:rsidRDefault="008A08B5" w:rsidP="008A08B5">
      <w:pPr>
        <w:jc w:val="both"/>
        <w:rPr>
          <w:rFonts w:ascii="Arial" w:eastAsia="Times New Roman" w:hAnsi="Arial" w:cs="Arial"/>
          <w:b/>
          <w:bCs/>
          <w:sz w:val="22"/>
          <w:szCs w:val="22"/>
          <w:lang w:eastAsia="es-CO"/>
        </w:rPr>
      </w:pPr>
    </w:p>
    <w:p w14:paraId="7F31143D" w14:textId="6AA6D011"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Departamento Administrativo Nacional de Estadística - DANE.</w:t>
      </w:r>
      <w:r w:rsidRPr="008A08B5">
        <w:rPr>
          <w:rFonts w:ascii="Arial" w:eastAsia="Times New Roman" w:hAnsi="Arial" w:cs="Arial"/>
          <w:sz w:val="22"/>
          <w:szCs w:val="22"/>
          <w:lang w:eastAsia="es-CO"/>
        </w:rPr>
        <w:t xml:space="preserve"> (2020). </w:t>
      </w:r>
      <w:r w:rsidRPr="008A08B5">
        <w:rPr>
          <w:rFonts w:ascii="Arial" w:eastAsia="Times New Roman" w:hAnsi="Arial" w:cs="Arial"/>
          <w:i/>
          <w:iCs/>
          <w:sz w:val="22"/>
          <w:szCs w:val="22"/>
          <w:lang w:eastAsia="es-CO"/>
        </w:rPr>
        <w:t>Guía para la inclusión del enfoque diferencial e interseccional en la producción estadística del Sistema Estadístico Nacional</w:t>
      </w:r>
      <w:r w:rsidRPr="008A08B5">
        <w:rPr>
          <w:rFonts w:ascii="Arial" w:eastAsia="Times New Roman" w:hAnsi="Arial" w:cs="Arial"/>
          <w:sz w:val="22"/>
          <w:szCs w:val="22"/>
          <w:lang w:eastAsia="es-CO"/>
        </w:rPr>
        <w:t>. Bogotá D.C.: Dirección de Regulación, Planeación, Estandarización y Normalización.</w:t>
      </w:r>
    </w:p>
    <w:p w14:paraId="75AA6C49" w14:textId="77777777" w:rsidR="008A08B5" w:rsidRDefault="008A08B5" w:rsidP="008A08B5">
      <w:pPr>
        <w:jc w:val="both"/>
        <w:rPr>
          <w:rFonts w:ascii="Arial" w:eastAsia="Times New Roman" w:hAnsi="Arial" w:cs="Arial"/>
          <w:b/>
          <w:bCs/>
          <w:sz w:val="22"/>
          <w:szCs w:val="22"/>
          <w:lang w:eastAsia="es-CO"/>
        </w:rPr>
      </w:pPr>
    </w:p>
    <w:p w14:paraId="18E264FE" w14:textId="4FC28D10"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Departamento Nacional de Planeación - DNP.</w:t>
      </w:r>
      <w:r w:rsidRPr="008A08B5">
        <w:rPr>
          <w:rFonts w:ascii="Arial" w:eastAsia="Times New Roman" w:hAnsi="Arial" w:cs="Arial"/>
          <w:sz w:val="22"/>
          <w:szCs w:val="22"/>
          <w:lang w:eastAsia="es-CO"/>
        </w:rPr>
        <w:t xml:space="preserve"> (2008). </w:t>
      </w:r>
      <w:r w:rsidRPr="008A08B5">
        <w:rPr>
          <w:rFonts w:ascii="Arial" w:eastAsia="Times New Roman" w:hAnsi="Arial" w:cs="Arial"/>
          <w:i/>
          <w:iCs/>
          <w:sz w:val="22"/>
          <w:szCs w:val="22"/>
          <w:lang w:eastAsia="es-CO"/>
        </w:rPr>
        <w:t>Documento CONPES Social 113: Política Nacional de Seguridad Alimentaria y Nutricional (PSAN)</w:t>
      </w:r>
      <w:r w:rsidRPr="008A08B5">
        <w:rPr>
          <w:rFonts w:ascii="Arial" w:eastAsia="Times New Roman" w:hAnsi="Arial" w:cs="Arial"/>
          <w:sz w:val="22"/>
          <w:szCs w:val="22"/>
          <w:lang w:eastAsia="es-CO"/>
        </w:rPr>
        <w:t>. Bogotá D.C.: Consejo Nacional de Política Económica y Social.</w:t>
      </w:r>
    </w:p>
    <w:p w14:paraId="47F7531C" w14:textId="77777777" w:rsidR="008A08B5" w:rsidRDefault="008A08B5" w:rsidP="008A08B5">
      <w:pPr>
        <w:jc w:val="both"/>
        <w:rPr>
          <w:rFonts w:ascii="Arial" w:eastAsia="Times New Roman" w:hAnsi="Arial" w:cs="Arial"/>
          <w:b/>
          <w:bCs/>
          <w:sz w:val="22"/>
          <w:szCs w:val="22"/>
          <w:lang w:eastAsia="es-CO"/>
        </w:rPr>
      </w:pPr>
    </w:p>
    <w:p w14:paraId="40492F6D" w14:textId="260925AE"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Departamento Nacional de Planeación - DNP.</w:t>
      </w:r>
      <w:r w:rsidRPr="008A08B5">
        <w:rPr>
          <w:rFonts w:ascii="Arial" w:eastAsia="Times New Roman" w:hAnsi="Arial" w:cs="Arial"/>
          <w:sz w:val="22"/>
          <w:szCs w:val="22"/>
          <w:lang w:eastAsia="es-CO"/>
        </w:rPr>
        <w:t xml:space="preserve"> (2018). </w:t>
      </w:r>
      <w:r w:rsidRPr="008A08B5">
        <w:rPr>
          <w:rFonts w:ascii="Arial" w:eastAsia="Times New Roman" w:hAnsi="Arial" w:cs="Arial"/>
          <w:i/>
          <w:iCs/>
          <w:sz w:val="22"/>
          <w:szCs w:val="22"/>
          <w:lang w:eastAsia="es-CO"/>
        </w:rPr>
        <w:t>Documento CONPES 3918: Estrategia para la implementación de los Objetivos de Desarrollo Sostenible (ODS) en Colombia</w:t>
      </w:r>
      <w:r w:rsidRPr="008A08B5">
        <w:rPr>
          <w:rFonts w:ascii="Arial" w:eastAsia="Times New Roman" w:hAnsi="Arial" w:cs="Arial"/>
          <w:sz w:val="22"/>
          <w:szCs w:val="22"/>
          <w:lang w:eastAsia="es-CO"/>
        </w:rPr>
        <w:t>. Bogotá D.C.: Consejo Nacional de Política Económica y Social.</w:t>
      </w:r>
    </w:p>
    <w:p w14:paraId="00079A0C" w14:textId="77777777" w:rsidR="008A08B5" w:rsidRDefault="008A08B5" w:rsidP="008A08B5">
      <w:pPr>
        <w:jc w:val="both"/>
        <w:rPr>
          <w:rFonts w:ascii="Arial" w:eastAsia="Times New Roman" w:hAnsi="Arial" w:cs="Arial"/>
          <w:b/>
          <w:bCs/>
          <w:sz w:val="22"/>
          <w:szCs w:val="22"/>
          <w:lang w:eastAsia="es-CO"/>
        </w:rPr>
      </w:pPr>
    </w:p>
    <w:p w14:paraId="52AD498E" w14:textId="763C3D46"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Departamento Nacional de Planeación - DNP.</w:t>
      </w:r>
      <w:r w:rsidRPr="008A08B5">
        <w:rPr>
          <w:rFonts w:ascii="Arial" w:eastAsia="Times New Roman" w:hAnsi="Arial" w:cs="Arial"/>
          <w:sz w:val="22"/>
          <w:szCs w:val="22"/>
          <w:lang w:eastAsia="es-CO"/>
        </w:rPr>
        <w:t xml:space="preserve"> (2022). </w:t>
      </w:r>
      <w:r w:rsidRPr="008A08B5">
        <w:rPr>
          <w:rFonts w:ascii="Arial" w:eastAsia="Times New Roman" w:hAnsi="Arial" w:cs="Arial"/>
          <w:i/>
          <w:iCs/>
          <w:sz w:val="22"/>
          <w:szCs w:val="22"/>
          <w:lang w:eastAsia="es-CO"/>
        </w:rPr>
        <w:t>Guía metodológica para la formulación de indicadores de políticas públicas</w:t>
      </w:r>
      <w:r w:rsidRPr="008A08B5">
        <w:rPr>
          <w:rFonts w:ascii="Arial" w:eastAsia="Times New Roman" w:hAnsi="Arial" w:cs="Arial"/>
          <w:sz w:val="22"/>
          <w:szCs w:val="22"/>
          <w:lang w:eastAsia="es-CO"/>
        </w:rPr>
        <w:t>. Bogotá D.C.: Dirección de Seguimiento y Evaluación de Políticas Públicas.</w:t>
      </w:r>
    </w:p>
    <w:p w14:paraId="20875E50" w14:textId="77777777" w:rsidR="008A08B5" w:rsidRDefault="008A08B5" w:rsidP="008A08B5">
      <w:pPr>
        <w:jc w:val="both"/>
        <w:rPr>
          <w:rFonts w:ascii="Arial" w:eastAsia="Times New Roman" w:hAnsi="Arial" w:cs="Arial"/>
          <w:b/>
          <w:bCs/>
          <w:sz w:val="22"/>
          <w:szCs w:val="22"/>
          <w:lang w:eastAsia="es-CO"/>
        </w:rPr>
      </w:pPr>
    </w:p>
    <w:p w14:paraId="5CEBA812" w14:textId="3EAD7C53"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Departamento Nacional de Planeación - DNP.</w:t>
      </w:r>
      <w:r w:rsidRPr="008A08B5">
        <w:rPr>
          <w:rFonts w:ascii="Arial" w:eastAsia="Times New Roman" w:hAnsi="Arial" w:cs="Arial"/>
          <w:sz w:val="22"/>
          <w:szCs w:val="22"/>
          <w:lang w:eastAsia="es-CO"/>
        </w:rPr>
        <w:t xml:space="preserve"> (2023). </w:t>
      </w:r>
      <w:r w:rsidRPr="008A08B5">
        <w:rPr>
          <w:rFonts w:ascii="Arial" w:eastAsia="Times New Roman" w:hAnsi="Arial" w:cs="Arial"/>
          <w:i/>
          <w:iCs/>
          <w:sz w:val="22"/>
          <w:szCs w:val="22"/>
          <w:lang w:eastAsia="es-CO"/>
        </w:rPr>
        <w:t>Bases del Plan Nacional de Desarrollo: Colombia Potencia Mundial de la Vida</w:t>
      </w:r>
      <w:r w:rsidRPr="008A08B5">
        <w:rPr>
          <w:rFonts w:ascii="Arial" w:eastAsia="Times New Roman" w:hAnsi="Arial" w:cs="Arial"/>
          <w:sz w:val="22"/>
          <w:szCs w:val="22"/>
          <w:lang w:eastAsia="es-CO"/>
        </w:rPr>
        <w:t>. Bogotá D.C.: Imprenta Nacional.</w:t>
      </w:r>
    </w:p>
    <w:p w14:paraId="3BA8A9A1" w14:textId="77777777" w:rsidR="008A08B5" w:rsidRDefault="008A08B5" w:rsidP="008A08B5">
      <w:pPr>
        <w:jc w:val="both"/>
        <w:rPr>
          <w:rFonts w:ascii="Arial" w:eastAsia="Times New Roman" w:hAnsi="Arial" w:cs="Arial"/>
          <w:b/>
          <w:bCs/>
          <w:sz w:val="22"/>
          <w:szCs w:val="22"/>
          <w:lang w:eastAsia="es-CO"/>
        </w:rPr>
      </w:pPr>
    </w:p>
    <w:p w14:paraId="579BB26C" w14:textId="0439E23B"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Instituto de Hidrología, Meteorología y Estudios Ambientales - IDEAM.</w:t>
      </w:r>
      <w:r w:rsidRPr="008A08B5">
        <w:rPr>
          <w:rFonts w:ascii="Arial" w:eastAsia="Times New Roman" w:hAnsi="Arial" w:cs="Arial"/>
          <w:sz w:val="22"/>
          <w:szCs w:val="22"/>
          <w:lang w:eastAsia="es-CO"/>
        </w:rPr>
        <w:t xml:space="preserve"> (2021). </w:t>
      </w:r>
      <w:r w:rsidRPr="008A08B5">
        <w:rPr>
          <w:rFonts w:ascii="Arial" w:eastAsia="Times New Roman" w:hAnsi="Arial" w:cs="Arial"/>
          <w:i/>
          <w:iCs/>
          <w:sz w:val="22"/>
          <w:szCs w:val="22"/>
          <w:lang w:eastAsia="es-CO"/>
        </w:rPr>
        <w:t>Tercera Comunicación Nacional de Colombia ante la Convención Marco de las Naciones Unidas sobre el Cambio Climático</w:t>
      </w:r>
      <w:r w:rsidRPr="008A08B5">
        <w:rPr>
          <w:rFonts w:ascii="Arial" w:eastAsia="Times New Roman" w:hAnsi="Arial" w:cs="Arial"/>
          <w:sz w:val="22"/>
          <w:szCs w:val="22"/>
          <w:lang w:eastAsia="es-CO"/>
        </w:rPr>
        <w:t>. Bogotá D.C.: MINAMBIENTE.</w:t>
      </w:r>
    </w:p>
    <w:p w14:paraId="0B18CB0E" w14:textId="77777777"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Ministerio de Ambiente y Desarrollo Sostenible de Colombia.</w:t>
      </w:r>
      <w:r w:rsidRPr="008A08B5">
        <w:rPr>
          <w:rFonts w:ascii="Arial" w:eastAsia="Times New Roman" w:hAnsi="Arial" w:cs="Arial"/>
          <w:sz w:val="22"/>
          <w:szCs w:val="22"/>
          <w:lang w:eastAsia="es-CO"/>
        </w:rPr>
        <w:t xml:space="preserve"> (2015). </w:t>
      </w:r>
      <w:r w:rsidRPr="008A08B5">
        <w:rPr>
          <w:rFonts w:ascii="Arial" w:eastAsia="Times New Roman" w:hAnsi="Arial" w:cs="Arial"/>
          <w:i/>
          <w:iCs/>
          <w:sz w:val="22"/>
          <w:szCs w:val="22"/>
          <w:lang w:eastAsia="es-CO"/>
        </w:rPr>
        <w:t>Decreto Único Reglamentario del Sector Ambiente y Desarrollo Sostenible (Decreto 1076 de 2015)</w:t>
      </w:r>
      <w:r w:rsidRPr="008A08B5">
        <w:rPr>
          <w:rFonts w:ascii="Arial" w:eastAsia="Times New Roman" w:hAnsi="Arial" w:cs="Arial"/>
          <w:sz w:val="22"/>
          <w:szCs w:val="22"/>
          <w:lang w:eastAsia="es-CO"/>
        </w:rPr>
        <w:t xml:space="preserve">. Bogotá D.C.: </w:t>
      </w:r>
      <w:proofErr w:type="spellStart"/>
      <w:r w:rsidRPr="008A08B5">
        <w:rPr>
          <w:rFonts w:ascii="Arial" w:eastAsia="Times New Roman" w:hAnsi="Arial" w:cs="Arial"/>
          <w:sz w:val="22"/>
          <w:szCs w:val="22"/>
          <w:lang w:eastAsia="es-CO"/>
        </w:rPr>
        <w:t>MinAmbiente</w:t>
      </w:r>
      <w:proofErr w:type="spellEnd"/>
      <w:r w:rsidRPr="008A08B5">
        <w:rPr>
          <w:rFonts w:ascii="Arial" w:eastAsia="Times New Roman" w:hAnsi="Arial" w:cs="Arial"/>
          <w:sz w:val="22"/>
          <w:szCs w:val="22"/>
          <w:lang w:eastAsia="es-CO"/>
        </w:rPr>
        <w:t xml:space="preserve">. </w:t>
      </w:r>
      <w:r w:rsidRPr="008A08B5">
        <w:rPr>
          <w:rFonts w:ascii="Arial" w:eastAsia="Times New Roman" w:hAnsi="Arial" w:cs="Arial"/>
          <w:i/>
          <w:iCs/>
          <w:sz w:val="22"/>
          <w:szCs w:val="22"/>
          <w:lang w:eastAsia="es-CO"/>
        </w:rPr>
        <w:t>(Sección de determinantes ambientales para el ordenamiento territorial)</w:t>
      </w:r>
      <w:r w:rsidRPr="008A08B5">
        <w:rPr>
          <w:rFonts w:ascii="Arial" w:eastAsia="Times New Roman" w:hAnsi="Arial" w:cs="Arial"/>
          <w:sz w:val="22"/>
          <w:szCs w:val="22"/>
          <w:lang w:eastAsia="es-CO"/>
        </w:rPr>
        <w:t>.</w:t>
      </w:r>
    </w:p>
    <w:p w14:paraId="69291BED" w14:textId="77777777" w:rsidR="008A08B5" w:rsidRDefault="008A08B5" w:rsidP="008A08B5">
      <w:pPr>
        <w:jc w:val="both"/>
        <w:rPr>
          <w:rFonts w:ascii="Arial" w:eastAsia="Times New Roman" w:hAnsi="Arial" w:cs="Arial"/>
          <w:b/>
          <w:bCs/>
          <w:sz w:val="22"/>
          <w:szCs w:val="22"/>
          <w:lang w:eastAsia="es-CO"/>
        </w:rPr>
      </w:pPr>
    </w:p>
    <w:p w14:paraId="51328830" w14:textId="5080682B"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Ministerio de Ambiente y Desarrollo Sostenible &amp; Unidad de Planeación Minero-Energética.</w:t>
      </w:r>
      <w:r w:rsidRPr="008A08B5">
        <w:rPr>
          <w:rFonts w:ascii="Arial" w:eastAsia="Times New Roman" w:hAnsi="Arial" w:cs="Arial"/>
          <w:sz w:val="22"/>
          <w:szCs w:val="22"/>
          <w:lang w:eastAsia="es-CO"/>
        </w:rPr>
        <w:t xml:space="preserve"> (2021). </w:t>
      </w:r>
      <w:r w:rsidRPr="008A08B5">
        <w:rPr>
          <w:rFonts w:ascii="Arial" w:eastAsia="Times New Roman" w:hAnsi="Arial" w:cs="Arial"/>
          <w:i/>
          <w:iCs/>
          <w:sz w:val="22"/>
          <w:szCs w:val="22"/>
          <w:lang w:eastAsia="es-CO"/>
        </w:rPr>
        <w:t>Guía Metodológica para la Evaluación Ambiental Estratégica (EAE) aplicada al Sector Minero-Energético en Colombia</w:t>
      </w:r>
      <w:r w:rsidRPr="008A08B5">
        <w:rPr>
          <w:rFonts w:ascii="Arial" w:eastAsia="Times New Roman" w:hAnsi="Arial" w:cs="Arial"/>
          <w:sz w:val="22"/>
          <w:szCs w:val="22"/>
          <w:lang w:eastAsia="es-CO"/>
        </w:rPr>
        <w:t xml:space="preserve">. Bogotá D.C.: </w:t>
      </w:r>
      <w:proofErr w:type="spellStart"/>
      <w:r w:rsidRPr="008A08B5">
        <w:rPr>
          <w:rFonts w:ascii="Arial" w:eastAsia="Times New Roman" w:hAnsi="Arial" w:cs="Arial"/>
          <w:sz w:val="22"/>
          <w:szCs w:val="22"/>
          <w:lang w:eastAsia="es-CO"/>
        </w:rPr>
        <w:t>MinAmbiente</w:t>
      </w:r>
      <w:proofErr w:type="spellEnd"/>
      <w:r w:rsidRPr="008A08B5">
        <w:rPr>
          <w:rFonts w:ascii="Arial" w:eastAsia="Times New Roman" w:hAnsi="Arial" w:cs="Arial"/>
          <w:sz w:val="22"/>
          <w:szCs w:val="22"/>
          <w:lang w:eastAsia="es-CO"/>
        </w:rPr>
        <w:t>/UPME.</w:t>
      </w:r>
    </w:p>
    <w:p w14:paraId="3A91B02B" w14:textId="77777777" w:rsidR="008A08B5" w:rsidRDefault="008A08B5" w:rsidP="008A08B5">
      <w:pPr>
        <w:jc w:val="both"/>
        <w:rPr>
          <w:rFonts w:ascii="Arial" w:eastAsia="Times New Roman" w:hAnsi="Arial" w:cs="Arial"/>
          <w:b/>
          <w:bCs/>
          <w:sz w:val="22"/>
          <w:szCs w:val="22"/>
          <w:lang w:eastAsia="es-CO"/>
        </w:rPr>
      </w:pPr>
    </w:p>
    <w:p w14:paraId="1A9F8ACE" w14:textId="692138EC"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Ministerio de Minas y Energía.</w:t>
      </w:r>
      <w:r w:rsidRPr="008A08B5">
        <w:rPr>
          <w:rFonts w:ascii="Arial" w:eastAsia="Times New Roman" w:hAnsi="Arial" w:cs="Arial"/>
          <w:sz w:val="22"/>
          <w:szCs w:val="22"/>
          <w:lang w:eastAsia="es-CO"/>
        </w:rPr>
        <w:t xml:space="preserve"> (2020). </w:t>
      </w:r>
      <w:r w:rsidRPr="008A08B5">
        <w:rPr>
          <w:rFonts w:ascii="Arial" w:eastAsia="Times New Roman" w:hAnsi="Arial" w:cs="Arial"/>
          <w:i/>
          <w:iCs/>
          <w:sz w:val="22"/>
          <w:szCs w:val="22"/>
          <w:lang w:eastAsia="es-CO"/>
        </w:rPr>
        <w:t>Plan Energético Nacional 2020-2050: Transformación Energética para el Desarrollo Sostenible</w:t>
      </w:r>
      <w:r w:rsidRPr="008A08B5">
        <w:rPr>
          <w:rFonts w:ascii="Arial" w:eastAsia="Times New Roman" w:hAnsi="Arial" w:cs="Arial"/>
          <w:sz w:val="22"/>
          <w:szCs w:val="22"/>
          <w:lang w:eastAsia="es-CO"/>
        </w:rPr>
        <w:t>. Bogotá D.C.: Unidad de Planeación Minero Energética - UPME.</w:t>
      </w:r>
    </w:p>
    <w:p w14:paraId="2870BCBB" w14:textId="77777777" w:rsidR="008A08B5" w:rsidRDefault="008A08B5" w:rsidP="008A08B5">
      <w:pPr>
        <w:jc w:val="both"/>
        <w:rPr>
          <w:rFonts w:ascii="Arial" w:eastAsia="Times New Roman" w:hAnsi="Arial" w:cs="Arial"/>
          <w:b/>
          <w:bCs/>
          <w:sz w:val="22"/>
          <w:szCs w:val="22"/>
          <w:lang w:eastAsia="es-CO"/>
        </w:rPr>
      </w:pPr>
    </w:p>
    <w:p w14:paraId="759CD3DB" w14:textId="022033D2"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lastRenderedPageBreak/>
        <w:t>Ministerio de Minas y Energía.</w:t>
      </w:r>
      <w:r w:rsidRPr="008A08B5">
        <w:rPr>
          <w:rFonts w:ascii="Arial" w:eastAsia="Times New Roman" w:hAnsi="Arial" w:cs="Arial"/>
          <w:sz w:val="22"/>
          <w:szCs w:val="22"/>
          <w:lang w:eastAsia="es-CO"/>
        </w:rPr>
        <w:t xml:space="preserve"> (2020). </w:t>
      </w:r>
      <w:r w:rsidRPr="008A08B5">
        <w:rPr>
          <w:rFonts w:ascii="Arial" w:eastAsia="Times New Roman" w:hAnsi="Arial" w:cs="Arial"/>
          <w:i/>
          <w:iCs/>
          <w:sz w:val="22"/>
          <w:szCs w:val="22"/>
          <w:lang w:eastAsia="es-CO"/>
        </w:rPr>
        <w:t>Resolución 40318 de 2020: Por la cual se adopta la Política de Enfoque Diferencial para el Sector Minero-Energético</w:t>
      </w:r>
      <w:r w:rsidRPr="008A08B5">
        <w:rPr>
          <w:rFonts w:ascii="Arial" w:eastAsia="Times New Roman" w:hAnsi="Arial" w:cs="Arial"/>
          <w:sz w:val="22"/>
          <w:szCs w:val="22"/>
          <w:lang w:eastAsia="es-CO"/>
        </w:rPr>
        <w:t xml:space="preserve">. Bogotá D.C.: </w:t>
      </w:r>
      <w:proofErr w:type="spellStart"/>
      <w:r w:rsidRPr="008A08B5">
        <w:rPr>
          <w:rFonts w:ascii="Arial" w:eastAsia="Times New Roman" w:hAnsi="Arial" w:cs="Arial"/>
          <w:sz w:val="22"/>
          <w:szCs w:val="22"/>
          <w:lang w:eastAsia="es-CO"/>
        </w:rPr>
        <w:t>MinEnergía</w:t>
      </w:r>
      <w:proofErr w:type="spellEnd"/>
      <w:r w:rsidRPr="008A08B5">
        <w:rPr>
          <w:rFonts w:ascii="Arial" w:eastAsia="Times New Roman" w:hAnsi="Arial" w:cs="Arial"/>
          <w:sz w:val="22"/>
          <w:szCs w:val="22"/>
          <w:lang w:eastAsia="es-CO"/>
        </w:rPr>
        <w:t>.</w:t>
      </w:r>
    </w:p>
    <w:p w14:paraId="491CB73A" w14:textId="77777777" w:rsidR="008A08B5" w:rsidRDefault="008A08B5" w:rsidP="008A08B5">
      <w:pPr>
        <w:jc w:val="both"/>
        <w:rPr>
          <w:rFonts w:ascii="Arial" w:eastAsia="Times New Roman" w:hAnsi="Arial" w:cs="Arial"/>
          <w:b/>
          <w:bCs/>
          <w:sz w:val="22"/>
          <w:szCs w:val="22"/>
          <w:lang w:eastAsia="es-CO"/>
        </w:rPr>
      </w:pPr>
    </w:p>
    <w:p w14:paraId="1C785C4A" w14:textId="080529AE"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Ministerio de Minas y Energía.</w:t>
      </w:r>
      <w:r w:rsidRPr="008A08B5">
        <w:rPr>
          <w:rFonts w:ascii="Arial" w:eastAsia="Times New Roman" w:hAnsi="Arial" w:cs="Arial"/>
          <w:sz w:val="22"/>
          <w:szCs w:val="22"/>
          <w:lang w:eastAsia="es-CO"/>
        </w:rPr>
        <w:t xml:space="preserve"> (2021). </w:t>
      </w:r>
      <w:r w:rsidRPr="008A08B5">
        <w:rPr>
          <w:rFonts w:ascii="Arial" w:eastAsia="Times New Roman" w:hAnsi="Arial" w:cs="Arial"/>
          <w:i/>
          <w:iCs/>
          <w:sz w:val="22"/>
          <w:szCs w:val="22"/>
          <w:lang w:eastAsia="es-CO"/>
        </w:rPr>
        <w:t>Plan Integral de Gestión del Cambio Climático Sectorial del Sector Minero-Energético (</w:t>
      </w:r>
      <w:proofErr w:type="spellStart"/>
      <w:r w:rsidRPr="008A08B5">
        <w:rPr>
          <w:rFonts w:ascii="Arial" w:eastAsia="Times New Roman" w:hAnsi="Arial" w:cs="Arial"/>
          <w:i/>
          <w:iCs/>
          <w:sz w:val="22"/>
          <w:szCs w:val="22"/>
          <w:lang w:eastAsia="es-CO"/>
        </w:rPr>
        <w:t>PIGCCSme</w:t>
      </w:r>
      <w:proofErr w:type="spellEnd"/>
      <w:r w:rsidRPr="008A08B5">
        <w:rPr>
          <w:rFonts w:ascii="Arial" w:eastAsia="Times New Roman" w:hAnsi="Arial" w:cs="Arial"/>
          <w:i/>
          <w:iCs/>
          <w:sz w:val="22"/>
          <w:szCs w:val="22"/>
          <w:lang w:eastAsia="es-CO"/>
        </w:rPr>
        <w:t>) hacia el 2050</w:t>
      </w:r>
      <w:r w:rsidRPr="008A08B5">
        <w:rPr>
          <w:rFonts w:ascii="Arial" w:eastAsia="Times New Roman" w:hAnsi="Arial" w:cs="Arial"/>
          <w:sz w:val="22"/>
          <w:szCs w:val="22"/>
          <w:lang w:eastAsia="es-CO"/>
        </w:rPr>
        <w:t xml:space="preserve">. Bogotá D.C.: </w:t>
      </w:r>
      <w:proofErr w:type="spellStart"/>
      <w:r w:rsidRPr="008A08B5">
        <w:rPr>
          <w:rFonts w:ascii="Arial" w:eastAsia="Times New Roman" w:hAnsi="Arial" w:cs="Arial"/>
          <w:sz w:val="22"/>
          <w:szCs w:val="22"/>
          <w:lang w:eastAsia="es-CO"/>
        </w:rPr>
        <w:t>MinEnergía</w:t>
      </w:r>
      <w:proofErr w:type="spellEnd"/>
      <w:r w:rsidRPr="008A08B5">
        <w:rPr>
          <w:rFonts w:ascii="Arial" w:eastAsia="Times New Roman" w:hAnsi="Arial" w:cs="Arial"/>
          <w:sz w:val="22"/>
          <w:szCs w:val="22"/>
          <w:lang w:eastAsia="es-CO"/>
        </w:rPr>
        <w:t xml:space="preserve"> / UPME.</w:t>
      </w:r>
    </w:p>
    <w:p w14:paraId="46C3FD39" w14:textId="77777777" w:rsidR="008A08B5" w:rsidRDefault="008A08B5" w:rsidP="008A08B5">
      <w:pPr>
        <w:jc w:val="both"/>
        <w:rPr>
          <w:rFonts w:ascii="Arial" w:eastAsia="Times New Roman" w:hAnsi="Arial" w:cs="Arial"/>
          <w:b/>
          <w:bCs/>
          <w:sz w:val="22"/>
          <w:szCs w:val="22"/>
          <w:lang w:eastAsia="es-CO"/>
        </w:rPr>
      </w:pPr>
    </w:p>
    <w:p w14:paraId="507953BB" w14:textId="6DADFCB1"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Ministerio de Minas y Energía.</w:t>
      </w:r>
      <w:r w:rsidRPr="008A08B5">
        <w:rPr>
          <w:rFonts w:ascii="Arial" w:eastAsia="Times New Roman" w:hAnsi="Arial" w:cs="Arial"/>
          <w:sz w:val="22"/>
          <w:szCs w:val="22"/>
          <w:lang w:eastAsia="es-CO"/>
        </w:rPr>
        <w:t xml:space="preserve"> (2022). </w:t>
      </w:r>
      <w:r w:rsidRPr="008A08B5">
        <w:rPr>
          <w:rFonts w:ascii="Arial" w:eastAsia="Times New Roman" w:hAnsi="Arial" w:cs="Arial"/>
          <w:i/>
          <w:iCs/>
          <w:sz w:val="22"/>
          <w:szCs w:val="22"/>
          <w:lang w:eastAsia="es-CO"/>
        </w:rPr>
        <w:t>Lineamientos de Género para el Sector Minero-Energético: Lineamientos técnico-políticos para la inclusión y equidad de las mujeres</w:t>
      </w:r>
      <w:r w:rsidRPr="008A08B5">
        <w:rPr>
          <w:rFonts w:ascii="Arial" w:eastAsia="Times New Roman" w:hAnsi="Arial" w:cs="Arial"/>
          <w:sz w:val="22"/>
          <w:szCs w:val="22"/>
          <w:lang w:eastAsia="es-CO"/>
        </w:rPr>
        <w:t xml:space="preserve">. Bogotá D.C.: Oficina de Asuntos Ambientales y Sociales - </w:t>
      </w:r>
      <w:proofErr w:type="spellStart"/>
      <w:r w:rsidRPr="008A08B5">
        <w:rPr>
          <w:rFonts w:ascii="Arial" w:eastAsia="Times New Roman" w:hAnsi="Arial" w:cs="Arial"/>
          <w:sz w:val="22"/>
          <w:szCs w:val="22"/>
          <w:lang w:eastAsia="es-CO"/>
        </w:rPr>
        <w:t>MinEnergía</w:t>
      </w:r>
      <w:proofErr w:type="spellEnd"/>
      <w:r w:rsidRPr="008A08B5">
        <w:rPr>
          <w:rFonts w:ascii="Arial" w:eastAsia="Times New Roman" w:hAnsi="Arial" w:cs="Arial"/>
          <w:sz w:val="22"/>
          <w:szCs w:val="22"/>
          <w:lang w:eastAsia="es-CO"/>
        </w:rPr>
        <w:t>.</w:t>
      </w:r>
    </w:p>
    <w:p w14:paraId="2494B815" w14:textId="77777777" w:rsidR="008A08B5" w:rsidRDefault="008A08B5" w:rsidP="008A08B5">
      <w:pPr>
        <w:jc w:val="both"/>
        <w:rPr>
          <w:rFonts w:ascii="Arial" w:eastAsia="Times New Roman" w:hAnsi="Arial" w:cs="Arial"/>
          <w:b/>
          <w:bCs/>
          <w:sz w:val="22"/>
          <w:szCs w:val="22"/>
          <w:lang w:eastAsia="es-CO"/>
        </w:rPr>
      </w:pPr>
    </w:p>
    <w:p w14:paraId="598E0666" w14:textId="67D65556"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Ministerio de Minas y Energía.</w:t>
      </w:r>
      <w:r w:rsidRPr="008A08B5">
        <w:rPr>
          <w:rFonts w:ascii="Arial" w:eastAsia="Times New Roman" w:hAnsi="Arial" w:cs="Arial"/>
          <w:sz w:val="22"/>
          <w:szCs w:val="22"/>
          <w:lang w:eastAsia="es-CO"/>
        </w:rPr>
        <w:t xml:space="preserve"> (2023). </w:t>
      </w:r>
      <w:r w:rsidRPr="008A08B5">
        <w:rPr>
          <w:rFonts w:ascii="Arial" w:eastAsia="Times New Roman" w:hAnsi="Arial" w:cs="Arial"/>
          <w:i/>
          <w:iCs/>
          <w:sz w:val="22"/>
          <w:szCs w:val="22"/>
          <w:lang w:eastAsia="es-CO"/>
        </w:rPr>
        <w:t>Ruta para la Transición Energética Justa en Colombia: Lineamientos de Política Pública</w:t>
      </w:r>
      <w:r w:rsidRPr="008A08B5">
        <w:rPr>
          <w:rFonts w:ascii="Arial" w:eastAsia="Times New Roman" w:hAnsi="Arial" w:cs="Arial"/>
          <w:sz w:val="22"/>
          <w:szCs w:val="22"/>
          <w:lang w:eastAsia="es-CO"/>
        </w:rPr>
        <w:t>. Bogotá D.C.: Oficina de Asuntos Ambientales y Sociales.</w:t>
      </w:r>
    </w:p>
    <w:p w14:paraId="1B56B46D" w14:textId="77777777" w:rsidR="008A08B5" w:rsidRDefault="008A08B5" w:rsidP="008A08B5">
      <w:pPr>
        <w:jc w:val="both"/>
        <w:rPr>
          <w:rFonts w:ascii="Arial" w:eastAsia="Times New Roman" w:hAnsi="Arial" w:cs="Arial"/>
          <w:b/>
          <w:bCs/>
          <w:sz w:val="22"/>
          <w:szCs w:val="22"/>
          <w:lang w:eastAsia="es-CO"/>
        </w:rPr>
      </w:pPr>
    </w:p>
    <w:p w14:paraId="38984C40" w14:textId="7866D06C"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Organización de las Naciones Unidas para la Alimentación y la Agricultura - FAO.</w:t>
      </w:r>
      <w:r w:rsidRPr="008A08B5">
        <w:rPr>
          <w:rFonts w:ascii="Arial" w:eastAsia="Times New Roman" w:hAnsi="Arial" w:cs="Arial"/>
          <w:sz w:val="22"/>
          <w:szCs w:val="22"/>
          <w:lang w:eastAsia="es-CO"/>
        </w:rPr>
        <w:t xml:space="preserve"> (1996). </w:t>
      </w:r>
      <w:r w:rsidRPr="008A08B5">
        <w:rPr>
          <w:rFonts w:ascii="Arial" w:eastAsia="Times New Roman" w:hAnsi="Arial" w:cs="Arial"/>
          <w:i/>
          <w:iCs/>
          <w:sz w:val="22"/>
          <w:szCs w:val="22"/>
          <w:lang w:eastAsia="es-CO"/>
        </w:rPr>
        <w:t>Declaración de Roma sobre la Seguridad Alimentaria Mundial y Plan de Acción de la Cumbre Mundial de la Alimentación</w:t>
      </w:r>
      <w:r w:rsidRPr="008A08B5">
        <w:rPr>
          <w:rFonts w:ascii="Arial" w:eastAsia="Times New Roman" w:hAnsi="Arial" w:cs="Arial"/>
          <w:sz w:val="22"/>
          <w:szCs w:val="22"/>
          <w:lang w:eastAsia="es-CO"/>
        </w:rPr>
        <w:t xml:space="preserve">. Roma: FAO. </w:t>
      </w:r>
      <w:r w:rsidRPr="008A08B5">
        <w:rPr>
          <w:rFonts w:ascii="Arial" w:eastAsia="Times New Roman" w:hAnsi="Arial" w:cs="Arial"/>
          <w:i/>
          <w:iCs/>
          <w:sz w:val="22"/>
          <w:szCs w:val="22"/>
          <w:lang w:eastAsia="es-CO"/>
        </w:rPr>
        <w:t>(Origen técnico de los cuatro pilares del abastecimiento)</w:t>
      </w:r>
      <w:r w:rsidRPr="008A08B5">
        <w:rPr>
          <w:rFonts w:ascii="Arial" w:eastAsia="Times New Roman" w:hAnsi="Arial" w:cs="Arial"/>
          <w:sz w:val="22"/>
          <w:szCs w:val="22"/>
          <w:lang w:eastAsia="es-CO"/>
        </w:rPr>
        <w:t>.</w:t>
      </w:r>
    </w:p>
    <w:p w14:paraId="0A67BDE3" w14:textId="77777777" w:rsidR="008A08B5" w:rsidRDefault="008A08B5" w:rsidP="008A08B5">
      <w:pPr>
        <w:jc w:val="both"/>
        <w:rPr>
          <w:rFonts w:ascii="Arial" w:eastAsia="Times New Roman" w:hAnsi="Arial" w:cs="Arial"/>
          <w:b/>
          <w:bCs/>
          <w:sz w:val="22"/>
          <w:szCs w:val="22"/>
          <w:lang w:eastAsia="es-CO"/>
        </w:rPr>
      </w:pPr>
    </w:p>
    <w:p w14:paraId="45B1FAE2" w14:textId="6854705E"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Organización Internacional del Trabajo - OIT.</w:t>
      </w:r>
      <w:r w:rsidRPr="008A08B5">
        <w:rPr>
          <w:rFonts w:ascii="Arial" w:eastAsia="Times New Roman" w:hAnsi="Arial" w:cs="Arial"/>
          <w:sz w:val="22"/>
          <w:szCs w:val="22"/>
          <w:lang w:eastAsia="es-CO"/>
        </w:rPr>
        <w:t xml:space="preserve"> (1989). </w:t>
      </w:r>
      <w:r w:rsidRPr="008A08B5">
        <w:rPr>
          <w:rFonts w:ascii="Arial" w:eastAsia="Times New Roman" w:hAnsi="Arial" w:cs="Arial"/>
          <w:i/>
          <w:iCs/>
          <w:sz w:val="22"/>
          <w:szCs w:val="22"/>
          <w:lang w:eastAsia="es-CO"/>
        </w:rPr>
        <w:t>Convenio 169 sobre Pueblos Indígenas y Tribales en Países Independientes</w:t>
      </w:r>
      <w:r w:rsidRPr="008A08B5">
        <w:rPr>
          <w:rFonts w:ascii="Arial" w:eastAsia="Times New Roman" w:hAnsi="Arial" w:cs="Arial"/>
          <w:sz w:val="22"/>
          <w:szCs w:val="22"/>
          <w:lang w:eastAsia="es-CO"/>
        </w:rPr>
        <w:t xml:space="preserve">. Ginebra: OIT. </w:t>
      </w:r>
      <w:r w:rsidRPr="008A08B5">
        <w:rPr>
          <w:rFonts w:ascii="Arial" w:eastAsia="Times New Roman" w:hAnsi="Arial" w:cs="Arial"/>
          <w:i/>
          <w:iCs/>
          <w:sz w:val="22"/>
          <w:szCs w:val="22"/>
          <w:lang w:eastAsia="es-CO"/>
        </w:rPr>
        <w:t>(Incorporado a la legislación colombiana mediante la Ley 21 de 1991)</w:t>
      </w:r>
      <w:r w:rsidRPr="008A08B5">
        <w:rPr>
          <w:rFonts w:ascii="Arial" w:eastAsia="Times New Roman" w:hAnsi="Arial" w:cs="Arial"/>
          <w:sz w:val="22"/>
          <w:szCs w:val="22"/>
          <w:lang w:eastAsia="es-CO"/>
        </w:rPr>
        <w:t>.</w:t>
      </w:r>
    </w:p>
    <w:p w14:paraId="30D0FDE5" w14:textId="77777777" w:rsidR="008A08B5" w:rsidRDefault="008A08B5" w:rsidP="008A08B5">
      <w:pPr>
        <w:jc w:val="both"/>
        <w:rPr>
          <w:rFonts w:ascii="Arial" w:eastAsia="Times New Roman" w:hAnsi="Arial" w:cs="Arial"/>
          <w:b/>
          <w:bCs/>
          <w:sz w:val="22"/>
          <w:szCs w:val="22"/>
          <w:lang w:eastAsia="es-CO"/>
        </w:rPr>
      </w:pPr>
    </w:p>
    <w:p w14:paraId="57F27C74" w14:textId="48EC6AFB"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Unidad de Planificación Rural Agropecuaria - UPRA.</w:t>
      </w:r>
      <w:r w:rsidRPr="008A08B5">
        <w:rPr>
          <w:rFonts w:ascii="Arial" w:eastAsia="Times New Roman" w:hAnsi="Arial" w:cs="Arial"/>
          <w:sz w:val="22"/>
          <w:szCs w:val="22"/>
          <w:lang w:eastAsia="es-CO"/>
        </w:rPr>
        <w:t xml:space="preserve"> (2019). </w:t>
      </w:r>
      <w:r w:rsidRPr="008A08B5">
        <w:rPr>
          <w:rFonts w:ascii="Arial" w:eastAsia="Times New Roman" w:hAnsi="Arial" w:cs="Arial"/>
          <w:i/>
          <w:iCs/>
          <w:sz w:val="22"/>
          <w:szCs w:val="22"/>
          <w:lang w:eastAsia="es-CO"/>
        </w:rPr>
        <w:t>Metodología para la identificación y delimitación de la Frontera Agrícola Nacional</w:t>
      </w:r>
      <w:r w:rsidRPr="008A08B5">
        <w:rPr>
          <w:rFonts w:ascii="Arial" w:eastAsia="Times New Roman" w:hAnsi="Arial" w:cs="Arial"/>
          <w:sz w:val="22"/>
          <w:szCs w:val="22"/>
          <w:lang w:eastAsia="es-CO"/>
        </w:rPr>
        <w:t>. Bogotá D.C.: MINAGRICULTURA.</w:t>
      </w:r>
    </w:p>
    <w:p w14:paraId="5B1C637A" w14:textId="77777777" w:rsidR="008A08B5" w:rsidRDefault="008A08B5" w:rsidP="008A08B5">
      <w:pPr>
        <w:jc w:val="both"/>
        <w:rPr>
          <w:rFonts w:ascii="Arial" w:eastAsia="Times New Roman" w:hAnsi="Arial" w:cs="Arial"/>
          <w:b/>
          <w:bCs/>
          <w:sz w:val="22"/>
          <w:szCs w:val="22"/>
          <w:lang w:eastAsia="es-CO"/>
        </w:rPr>
      </w:pPr>
    </w:p>
    <w:p w14:paraId="0C9D4B81" w14:textId="5CA90472"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Unidad de Planeación Minero-Energética - UPME.</w:t>
      </w:r>
      <w:r w:rsidRPr="008A08B5">
        <w:rPr>
          <w:rFonts w:ascii="Arial" w:eastAsia="Times New Roman" w:hAnsi="Arial" w:cs="Arial"/>
          <w:sz w:val="22"/>
          <w:szCs w:val="22"/>
          <w:lang w:eastAsia="es-CO"/>
        </w:rPr>
        <w:t xml:space="preserve"> (2023). </w:t>
      </w:r>
      <w:r w:rsidRPr="008A08B5">
        <w:rPr>
          <w:rFonts w:ascii="Arial" w:eastAsia="Times New Roman" w:hAnsi="Arial" w:cs="Arial"/>
          <w:i/>
          <w:iCs/>
          <w:sz w:val="22"/>
          <w:szCs w:val="22"/>
          <w:lang w:eastAsia="es-CO"/>
        </w:rPr>
        <w:t>Plan Estratégico Institucional (PEI) 2023-2026: Planeación minero-energética para la equidad y la justicia social</w:t>
      </w:r>
      <w:r w:rsidRPr="008A08B5">
        <w:rPr>
          <w:rFonts w:ascii="Arial" w:eastAsia="Times New Roman" w:hAnsi="Arial" w:cs="Arial"/>
          <w:sz w:val="22"/>
          <w:szCs w:val="22"/>
          <w:lang w:eastAsia="es-CO"/>
        </w:rPr>
        <w:t>. Bogotá D.C.: UPME.</w:t>
      </w:r>
    </w:p>
    <w:p w14:paraId="71B7B594" w14:textId="77777777" w:rsidR="008A08B5" w:rsidRDefault="008A08B5" w:rsidP="008A08B5">
      <w:pPr>
        <w:jc w:val="both"/>
        <w:rPr>
          <w:rFonts w:ascii="Arial" w:eastAsia="Times New Roman" w:hAnsi="Arial" w:cs="Arial"/>
          <w:b/>
          <w:bCs/>
          <w:sz w:val="22"/>
          <w:szCs w:val="22"/>
          <w:lang w:eastAsia="es-CO"/>
        </w:rPr>
      </w:pPr>
    </w:p>
    <w:p w14:paraId="39EEBE21" w14:textId="77777777" w:rsid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Unidad de Planeación Minero-Energética - UPME.</w:t>
      </w:r>
      <w:r w:rsidRPr="008A08B5">
        <w:rPr>
          <w:rFonts w:ascii="Arial" w:eastAsia="Times New Roman" w:hAnsi="Arial" w:cs="Arial"/>
          <w:sz w:val="22"/>
          <w:szCs w:val="22"/>
          <w:lang w:eastAsia="es-CO"/>
        </w:rPr>
        <w:t xml:space="preserve"> (2024). </w:t>
      </w:r>
      <w:r w:rsidRPr="008A08B5">
        <w:rPr>
          <w:rFonts w:ascii="Arial" w:eastAsia="Times New Roman" w:hAnsi="Arial" w:cs="Arial"/>
          <w:i/>
          <w:iCs/>
          <w:sz w:val="22"/>
          <w:szCs w:val="22"/>
          <w:lang w:eastAsia="es-CO"/>
        </w:rPr>
        <w:t>Manual de Gestión Social Territorial para la Planificación de la Infraestructura Energética</w:t>
      </w:r>
      <w:r w:rsidRPr="008A08B5">
        <w:rPr>
          <w:rFonts w:ascii="Arial" w:eastAsia="Times New Roman" w:hAnsi="Arial" w:cs="Arial"/>
          <w:sz w:val="22"/>
          <w:szCs w:val="22"/>
          <w:lang w:eastAsia="es-CO"/>
        </w:rPr>
        <w:t>. Bogotá D.C.: Oficina de Gestión Social y Territorial - UPME.</w:t>
      </w:r>
    </w:p>
    <w:p w14:paraId="35A8D0CF" w14:textId="4B2A89A1" w:rsidR="008A08B5" w:rsidRPr="008A08B5" w:rsidRDefault="008A08B5" w:rsidP="008A08B5">
      <w:pPr>
        <w:jc w:val="both"/>
        <w:rPr>
          <w:rFonts w:ascii="Arial" w:eastAsia="Times New Roman" w:hAnsi="Arial" w:cs="Arial"/>
          <w:sz w:val="22"/>
          <w:szCs w:val="22"/>
          <w:lang w:eastAsia="es-CO"/>
        </w:rPr>
      </w:pPr>
      <w:r w:rsidRPr="008A08B5">
        <w:rPr>
          <w:rFonts w:ascii="Arial" w:eastAsia="Times New Roman" w:hAnsi="Arial" w:cs="Arial"/>
          <w:b/>
          <w:bCs/>
          <w:sz w:val="22"/>
          <w:szCs w:val="22"/>
          <w:lang w:eastAsia="es-CO"/>
        </w:rPr>
        <w:t>Unidad de Planeación Minero-Energética - UPME.</w:t>
      </w:r>
      <w:r w:rsidRPr="008A08B5">
        <w:rPr>
          <w:rFonts w:ascii="Arial" w:eastAsia="Times New Roman" w:hAnsi="Arial" w:cs="Arial"/>
          <w:sz w:val="22"/>
          <w:szCs w:val="22"/>
          <w:lang w:eastAsia="es-CO"/>
        </w:rPr>
        <w:t xml:space="preserve"> (2024). </w:t>
      </w:r>
      <w:r w:rsidRPr="008A08B5">
        <w:rPr>
          <w:rFonts w:ascii="Arial" w:eastAsia="Times New Roman" w:hAnsi="Arial" w:cs="Arial"/>
          <w:i/>
          <w:iCs/>
          <w:sz w:val="22"/>
          <w:szCs w:val="22"/>
          <w:lang w:eastAsia="es-CO"/>
        </w:rPr>
        <w:t>Plan Energético Nacional (PEN) 2024-2054: Infraestructura energética y resiliencia climática (Tomo I)</w:t>
      </w:r>
      <w:r w:rsidRPr="008A08B5">
        <w:rPr>
          <w:rFonts w:ascii="Arial" w:eastAsia="Times New Roman" w:hAnsi="Arial" w:cs="Arial"/>
          <w:sz w:val="22"/>
          <w:szCs w:val="22"/>
          <w:lang w:eastAsia="es-CO"/>
        </w:rPr>
        <w:t>. Bogotá D.C.: UPME.</w:t>
      </w:r>
    </w:p>
    <w:p w14:paraId="285F7509" w14:textId="77777777" w:rsidR="008A08B5" w:rsidRPr="008A08B5" w:rsidRDefault="008A08B5" w:rsidP="008A08B5">
      <w:pPr>
        <w:ind w:left="142"/>
        <w:rPr>
          <w:rFonts w:ascii="Arial" w:hAnsi="Arial" w:cs="Arial"/>
          <w:sz w:val="22"/>
          <w:szCs w:val="22"/>
        </w:rPr>
      </w:pPr>
    </w:p>
    <w:p w14:paraId="634DB488" w14:textId="261C3789" w:rsidR="00DE0826" w:rsidRPr="008A08B5" w:rsidRDefault="00DE0826" w:rsidP="00074483">
      <w:pPr>
        <w:rPr>
          <w:rFonts w:ascii="Arial" w:hAnsi="Arial" w:cs="Arial"/>
          <w:sz w:val="22"/>
          <w:szCs w:val="22"/>
        </w:rPr>
      </w:pPr>
    </w:p>
    <w:sectPr w:rsidR="00DE0826" w:rsidRPr="008A08B5" w:rsidSect="00FF3749">
      <w:headerReference w:type="default" r:id="rId10"/>
      <w:footerReference w:type="default" r:id="rId11"/>
      <w:pgSz w:w="12240" w:h="15840"/>
      <w:pgMar w:top="1417" w:right="900"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54340F" w14:textId="77777777" w:rsidR="00F03248" w:rsidRDefault="00F03248">
      <w:r>
        <w:separator/>
      </w:r>
    </w:p>
  </w:endnote>
  <w:endnote w:type="continuationSeparator" w:id="0">
    <w:p w14:paraId="02A34169" w14:textId="77777777" w:rsidR="00F03248" w:rsidRDefault="00F03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Noto Sans Symbols">
    <w:altName w:val="Calibri"/>
    <w:panose1 w:val="020B0604020202020204"/>
    <w:charset w:val="00"/>
    <w:family w:val="auto"/>
    <w:pitch w:val="default"/>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58C4D" w14:textId="77777777" w:rsidR="00FF3749" w:rsidRPr="00101737" w:rsidRDefault="00FF3749" w:rsidP="00C815ED">
    <w:pPr>
      <w:pStyle w:val="Piedepgina"/>
      <w:jc w:val="right"/>
      <w:rPr>
        <w:rFonts w:ascii="Arial" w:hAnsi="Arial" w:cs="Arial"/>
        <w:sz w:val="14"/>
        <w:szCs w:val="14"/>
      </w:rPr>
    </w:pPr>
    <w:r w:rsidRPr="00101737">
      <w:rPr>
        <w:rFonts w:ascii="Arial" w:hAnsi="Arial" w:cs="Arial"/>
        <w:sz w:val="14"/>
        <w:szCs w:val="14"/>
        <w:lang w:val="es-ES"/>
      </w:rPr>
      <w:t xml:space="preserve">Página </w:t>
    </w:r>
    <w:r w:rsidRPr="00101737">
      <w:rPr>
        <w:rFonts w:ascii="Arial" w:hAnsi="Arial" w:cs="Arial"/>
        <w:bCs/>
        <w:sz w:val="14"/>
        <w:szCs w:val="14"/>
      </w:rPr>
      <w:fldChar w:fldCharType="begin"/>
    </w:r>
    <w:r w:rsidRPr="00101737">
      <w:rPr>
        <w:rFonts w:ascii="Arial" w:hAnsi="Arial" w:cs="Arial"/>
        <w:bCs/>
        <w:sz w:val="14"/>
        <w:szCs w:val="14"/>
      </w:rPr>
      <w:instrText>PAGE</w:instrText>
    </w:r>
    <w:r w:rsidRPr="00101737">
      <w:rPr>
        <w:rFonts w:ascii="Arial" w:hAnsi="Arial" w:cs="Arial"/>
        <w:bCs/>
        <w:sz w:val="14"/>
        <w:szCs w:val="14"/>
      </w:rPr>
      <w:fldChar w:fldCharType="separate"/>
    </w:r>
    <w:r>
      <w:rPr>
        <w:rFonts w:ascii="Arial" w:hAnsi="Arial" w:cs="Arial"/>
        <w:bCs/>
        <w:noProof/>
        <w:sz w:val="14"/>
        <w:szCs w:val="14"/>
      </w:rPr>
      <w:t>1</w:t>
    </w:r>
    <w:r w:rsidRPr="00101737">
      <w:rPr>
        <w:rFonts w:ascii="Arial" w:hAnsi="Arial" w:cs="Arial"/>
        <w:bCs/>
        <w:sz w:val="14"/>
        <w:szCs w:val="14"/>
      </w:rPr>
      <w:fldChar w:fldCharType="end"/>
    </w:r>
    <w:r w:rsidRPr="00101737">
      <w:rPr>
        <w:rFonts w:ascii="Arial" w:hAnsi="Arial" w:cs="Arial"/>
        <w:sz w:val="14"/>
        <w:szCs w:val="14"/>
        <w:lang w:val="es-ES"/>
      </w:rPr>
      <w:t xml:space="preserve"> de </w:t>
    </w:r>
    <w:r w:rsidRPr="00101737">
      <w:rPr>
        <w:rFonts w:ascii="Arial" w:hAnsi="Arial" w:cs="Arial"/>
        <w:bCs/>
        <w:sz w:val="14"/>
        <w:szCs w:val="14"/>
      </w:rPr>
      <w:fldChar w:fldCharType="begin"/>
    </w:r>
    <w:r w:rsidRPr="00101737">
      <w:rPr>
        <w:rFonts w:ascii="Arial" w:hAnsi="Arial" w:cs="Arial"/>
        <w:bCs/>
        <w:sz w:val="14"/>
        <w:szCs w:val="14"/>
      </w:rPr>
      <w:instrText>NUMPAGES</w:instrText>
    </w:r>
    <w:r w:rsidRPr="00101737">
      <w:rPr>
        <w:rFonts w:ascii="Arial" w:hAnsi="Arial" w:cs="Arial"/>
        <w:bCs/>
        <w:sz w:val="14"/>
        <w:szCs w:val="14"/>
      </w:rPr>
      <w:fldChar w:fldCharType="separate"/>
    </w:r>
    <w:r>
      <w:rPr>
        <w:rFonts w:ascii="Arial" w:hAnsi="Arial" w:cs="Arial"/>
        <w:bCs/>
        <w:noProof/>
        <w:sz w:val="14"/>
        <w:szCs w:val="14"/>
      </w:rPr>
      <w:t>3</w:t>
    </w:r>
    <w:r w:rsidRPr="00101737">
      <w:rPr>
        <w:rFonts w:ascii="Arial" w:hAnsi="Arial" w:cs="Arial"/>
        <w:bCs/>
        <w:sz w:val="14"/>
        <w:szCs w:val="14"/>
      </w:rPr>
      <w:fldChar w:fldCharType="end"/>
    </w:r>
  </w:p>
  <w:p w14:paraId="6E6414F3" w14:textId="77777777" w:rsidR="00FF3749" w:rsidRPr="00101737" w:rsidRDefault="00FF3749" w:rsidP="00101737">
    <w:pPr>
      <w:pBdr>
        <w:bottom w:val="single" w:sz="12" w:space="1" w:color="auto"/>
      </w:pBdr>
      <w:rPr>
        <w:rFonts w:ascii="Arial" w:hAnsi="Arial" w:cs="Arial"/>
        <w:sz w:val="14"/>
        <w:szCs w:val="14"/>
      </w:rPr>
    </w:pPr>
    <w:r w:rsidRPr="00101737">
      <w:rPr>
        <w:rFonts w:ascii="Arial" w:hAnsi="Arial" w:cs="Arial"/>
        <w:sz w:val="14"/>
        <w:szCs w:val="14"/>
      </w:rPr>
      <w:t>F-DE-013 V.3</w:t>
    </w:r>
    <w:r w:rsidRPr="00101737">
      <w:rPr>
        <w:rFonts w:ascii="Arial" w:hAnsi="Arial" w:cs="Arial"/>
        <w:sz w:val="14"/>
        <w:szCs w:val="14"/>
      </w:rPr>
      <w:tab/>
    </w:r>
    <w:r w:rsidRPr="00101737">
      <w:rPr>
        <w:rFonts w:ascii="Arial" w:hAnsi="Arial" w:cs="Arial"/>
        <w:sz w:val="14"/>
        <w:szCs w:val="14"/>
      </w:rPr>
      <w:tab/>
    </w:r>
    <w:r w:rsidRPr="00101737">
      <w:rPr>
        <w:rFonts w:ascii="Arial" w:hAnsi="Arial" w:cs="Arial"/>
        <w:sz w:val="14"/>
        <w:szCs w:val="14"/>
      </w:rPr>
      <w:tab/>
    </w:r>
    <w:r w:rsidRPr="00101737">
      <w:rPr>
        <w:rFonts w:ascii="Arial" w:hAnsi="Arial" w:cs="Arial"/>
        <w:sz w:val="14"/>
        <w:szCs w:val="14"/>
      </w:rPr>
      <w:tab/>
    </w:r>
    <w:r w:rsidRPr="00101737">
      <w:rPr>
        <w:rFonts w:ascii="Arial" w:hAnsi="Arial" w:cs="Arial"/>
        <w:sz w:val="14"/>
        <w:szCs w:val="14"/>
      </w:rPr>
      <w:tab/>
    </w:r>
    <w:r w:rsidRPr="00101737">
      <w:rPr>
        <w:rFonts w:ascii="Arial" w:hAnsi="Arial" w:cs="Arial"/>
        <w:color w:val="000000" w:themeColor="text1"/>
        <w:sz w:val="14"/>
        <w:szCs w:val="14"/>
      </w:rPr>
      <w:t xml:space="preserve">                                                                                                                  15/07/2024 </w:t>
    </w:r>
  </w:p>
  <w:p w14:paraId="1084AA36" w14:textId="77777777" w:rsidR="00FF3749" w:rsidRPr="00B87EE6" w:rsidRDefault="00FF3749" w:rsidP="00101737">
    <w:pPr>
      <w:tabs>
        <w:tab w:val="center" w:pos="4419"/>
        <w:tab w:val="right" w:pos="8838"/>
      </w:tabs>
      <w:suppressAutoHyphens/>
      <w:jc w:val="both"/>
      <w:rPr>
        <w:rFonts w:ascii="Arial" w:hAnsi="Arial" w:cs="Arial"/>
        <w:color w:val="7F7F7F" w:themeColor="text1" w:themeTint="80"/>
        <w:sz w:val="14"/>
        <w:szCs w:val="14"/>
      </w:rPr>
    </w:pPr>
    <w:r w:rsidRPr="00770320">
      <w:rPr>
        <w:rFonts w:ascii="Arial" w:hAnsi="Arial" w:cs="Arial"/>
        <w:b/>
        <w:bCs/>
        <w:i/>
        <w:color w:val="7F7F7F" w:themeColor="text1" w:themeTint="80"/>
        <w:sz w:val="14"/>
        <w:szCs w:val="14"/>
      </w:rPr>
      <w:t xml:space="preserve">Recuerde: </w:t>
    </w:r>
    <w:r w:rsidRPr="00770320">
      <w:rPr>
        <w:rFonts w:ascii="Arial" w:hAnsi="Arial" w:cs="Arial"/>
        <w:i/>
        <w:color w:val="7F7F7F" w:themeColor="text1" w:themeTint="80"/>
        <w:sz w:val="14"/>
        <w:szCs w:val="14"/>
      </w:rPr>
      <w:t xml:space="preserve">Si este documento se encuentra impreso no se garantiza su vigencia, por lo tanto, se considera </w:t>
    </w:r>
    <w:r w:rsidRPr="00770320">
      <w:rPr>
        <w:rFonts w:ascii="Arial" w:hAnsi="Arial" w:cs="Arial"/>
        <w:b/>
        <w:i/>
        <w:color w:val="FF0000"/>
        <w:sz w:val="14"/>
        <w:szCs w:val="14"/>
      </w:rPr>
      <w:t>“</w:t>
    </w:r>
    <w:r w:rsidRPr="00770320">
      <w:rPr>
        <w:rFonts w:ascii="Arial" w:hAnsi="Arial" w:cs="Arial"/>
        <w:b/>
        <w:i/>
        <w:color w:val="FF0000"/>
        <w:sz w:val="14"/>
        <w:szCs w:val="14"/>
        <w:u w:val="single"/>
      </w:rPr>
      <w:t>Copia No Controlada”</w:t>
    </w:r>
    <w:r w:rsidRPr="00770320">
      <w:rPr>
        <w:rFonts w:ascii="Arial" w:hAnsi="Arial" w:cs="Arial"/>
        <w:b/>
        <w:i/>
        <w:color w:val="FF0000"/>
        <w:sz w:val="14"/>
        <w:szCs w:val="14"/>
      </w:rPr>
      <w:t>.</w:t>
    </w:r>
    <w:r w:rsidRPr="00770320">
      <w:rPr>
        <w:rFonts w:ascii="Arial" w:hAnsi="Arial" w:cs="Arial"/>
        <w:i/>
        <w:color w:val="FF0000"/>
        <w:sz w:val="14"/>
        <w:szCs w:val="14"/>
      </w:rPr>
      <w:t xml:space="preserve"> </w:t>
    </w:r>
    <w:r w:rsidRPr="00770320">
      <w:rPr>
        <w:rFonts w:ascii="Arial" w:hAnsi="Arial" w:cs="Arial"/>
        <w:i/>
        <w:color w:val="7F7F7F" w:themeColor="text1" w:themeTint="80"/>
        <w:sz w:val="14"/>
        <w:szCs w:val="14"/>
      </w:rPr>
      <w:t>La versión vigente se encuentra publicada en el Sistema de Gestión Único Estratégico de Mejoramiento - SIGUEME</w:t>
    </w:r>
    <w:r w:rsidRPr="00770320">
      <w:rPr>
        <w:rFonts w:ascii="Arial" w:hAnsi="Arial" w:cs="Arial"/>
        <w:color w:val="7F7F7F" w:themeColor="text1" w:themeTint="80"/>
        <w:sz w:val="14"/>
        <w:szCs w:val="14"/>
      </w:rPr>
      <w:t>.</w:t>
    </w:r>
  </w:p>
  <w:p w14:paraId="4C829DE0" w14:textId="77777777" w:rsidR="00FF3749" w:rsidRDefault="00FF374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34FC6" w14:textId="77777777" w:rsidR="00F03248" w:rsidRDefault="00F03248">
      <w:r>
        <w:separator/>
      </w:r>
    </w:p>
  </w:footnote>
  <w:footnote w:type="continuationSeparator" w:id="0">
    <w:p w14:paraId="1D9F8AEB" w14:textId="77777777" w:rsidR="00F03248" w:rsidRDefault="00F03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5B5084" w14:textId="77777777" w:rsidR="00FF3749" w:rsidRDefault="00FF3749">
    <w:pPr>
      <w:pStyle w:val="Encabezado"/>
    </w:pPr>
  </w:p>
  <w:p w14:paraId="272C7926" w14:textId="77777777" w:rsidR="00FF3749" w:rsidRDefault="00FF3749">
    <w:pPr>
      <w:pStyle w:val="Encabezado"/>
    </w:pPr>
  </w:p>
  <w:tbl>
    <w:tblPr>
      <w:tblStyle w:val="Tablaconcuadrcula"/>
      <w:tblW w:w="10465" w:type="dxa"/>
      <w:tblInd w:w="-724"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firstRow="1" w:lastRow="0" w:firstColumn="1" w:lastColumn="0" w:noHBand="0" w:noVBand="1"/>
    </w:tblPr>
    <w:tblGrid>
      <w:gridCol w:w="2421"/>
      <w:gridCol w:w="5772"/>
      <w:gridCol w:w="2272"/>
    </w:tblGrid>
    <w:tr w:rsidR="00FF3749" w:rsidRPr="00EC47DC" w14:paraId="4A7AED7D" w14:textId="77777777" w:rsidTr="00EC47DC">
      <w:trPr>
        <w:trHeight w:val="443"/>
      </w:trPr>
      <w:tc>
        <w:tcPr>
          <w:tcW w:w="2421" w:type="dxa"/>
          <w:vMerge w:val="restart"/>
          <w:vAlign w:val="center"/>
        </w:tcPr>
        <w:p w14:paraId="70306C30" w14:textId="77777777" w:rsidR="00FF3749" w:rsidRPr="00EC47DC" w:rsidRDefault="00FF3749" w:rsidP="0035648D">
          <w:pPr>
            <w:pStyle w:val="Encabezado"/>
            <w:jc w:val="center"/>
            <w:rPr>
              <w:rFonts w:ascii="Verdana" w:hAnsi="Verdana"/>
              <w:sz w:val="20"/>
              <w:szCs w:val="20"/>
            </w:rPr>
          </w:pPr>
          <w:r w:rsidRPr="00EC47DC">
            <w:rPr>
              <w:rFonts w:ascii="Verdana" w:hAnsi="Verdana"/>
              <w:noProof/>
              <w:sz w:val="20"/>
              <w:szCs w:val="20"/>
              <w:lang w:eastAsia="es-CO"/>
            </w:rPr>
            <w:drawing>
              <wp:anchor distT="0" distB="0" distL="114300" distR="114300" simplePos="0" relativeHeight="251659264" behindDoc="0" locked="0" layoutInCell="1" allowOverlap="1" wp14:anchorId="5B09C8EC" wp14:editId="216DE8B8">
                <wp:simplePos x="0" y="0"/>
                <wp:positionH relativeFrom="margin">
                  <wp:posOffset>379730</wp:posOffset>
                </wp:positionH>
                <wp:positionV relativeFrom="margin">
                  <wp:posOffset>22225</wp:posOffset>
                </wp:positionV>
                <wp:extent cx="695325" cy="744855"/>
                <wp:effectExtent l="0" t="0" r="9525" b="0"/>
                <wp:wrapSquare wrapText="bothSides"/>
                <wp:docPr id="163905736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l="18047" t="12381" r="17718" b="12326"/>
                        <a:stretch/>
                      </pic:blipFill>
                      <pic:spPr bwMode="auto">
                        <a:xfrm>
                          <a:off x="0" y="0"/>
                          <a:ext cx="695325" cy="7448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772" w:type="dxa"/>
          <w:vMerge w:val="restart"/>
          <w:vAlign w:val="center"/>
        </w:tcPr>
        <w:p w14:paraId="0CB35A6D" w14:textId="24A6F5FE" w:rsidR="00FF3749" w:rsidRPr="00EC47DC" w:rsidRDefault="00D85A56" w:rsidP="008D4834">
          <w:pPr>
            <w:jc w:val="center"/>
            <w:rPr>
              <w:rFonts w:ascii="Verdana" w:hAnsi="Verdana"/>
              <w:sz w:val="20"/>
              <w:szCs w:val="20"/>
            </w:rPr>
          </w:pPr>
          <w:r w:rsidRPr="008A08B5">
            <w:rPr>
              <w:rFonts w:ascii="Arial" w:hAnsi="Arial" w:cs="Arial"/>
              <w:sz w:val="22"/>
              <w:szCs w:val="22"/>
            </w:rPr>
            <w:t>Elaborar documentos técnicos, informes y conceptos especializados que respalden la toma de decisiones institucionales en materia de planeación energética, uso eficiente de la energía y optimización de la demanda energética en los distintos sectores</w:t>
          </w:r>
        </w:p>
      </w:tc>
      <w:tc>
        <w:tcPr>
          <w:tcW w:w="2272" w:type="dxa"/>
          <w:vAlign w:val="center"/>
        </w:tcPr>
        <w:p w14:paraId="57A0AF89" w14:textId="77777777" w:rsidR="00FF3749" w:rsidRPr="00EC47DC" w:rsidRDefault="00FF3749" w:rsidP="0070212F">
          <w:pPr>
            <w:pStyle w:val="Encabezado"/>
            <w:rPr>
              <w:rFonts w:ascii="Verdana" w:hAnsi="Verdana" w:cs="Arial"/>
              <w:sz w:val="20"/>
              <w:szCs w:val="20"/>
            </w:rPr>
          </w:pPr>
          <w:r w:rsidRPr="00EC47DC">
            <w:rPr>
              <w:rFonts w:ascii="Verdana" w:hAnsi="Verdana" w:cs="Arial"/>
              <w:b/>
              <w:sz w:val="20"/>
              <w:szCs w:val="20"/>
            </w:rPr>
            <w:t>Código:</w:t>
          </w:r>
          <w:r w:rsidRPr="00EC47DC">
            <w:rPr>
              <w:rFonts w:ascii="Verdana" w:hAnsi="Verdana"/>
              <w:color w:val="333333"/>
              <w:sz w:val="20"/>
              <w:szCs w:val="20"/>
              <w:shd w:val="clear" w:color="auto" w:fill="F6F7F9"/>
            </w:rPr>
            <w:t xml:space="preserve">  </w:t>
          </w:r>
          <w:hyperlink r:id="rId2" w:tgtFrame="_blank" w:history="1">
            <w:r w:rsidRPr="00EC47DC">
              <w:rPr>
                <w:rFonts w:ascii="Verdana" w:hAnsi="Verdana" w:cs="Arial"/>
                <w:sz w:val="20"/>
                <w:szCs w:val="20"/>
              </w:rPr>
              <w:t>F-GC-2</w:t>
            </w:r>
          </w:hyperlink>
          <w:r w:rsidRPr="00EC47DC">
            <w:rPr>
              <w:rFonts w:ascii="Verdana" w:hAnsi="Verdana" w:cs="Arial"/>
              <w:sz w:val="20"/>
              <w:szCs w:val="20"/>
            </w:rPr>
            <w:t>7</w:t>
          </w:r>
        </w:p>
      </w:tc>
    </w:tr>
    <w:tr w:rsidR="00FF3749" w:rsidRPr="00EC47DC" w14:paraId="72F0DA00" w14:textId="77777777" w:rsidTr="00EC47DC">
      <w:trPr>
        <w:trHeight w:val="586"/>
      </w:trPr>
      <w:tc>
        <w:tcPr>
          <w:tcW w:w="2421" w:type="dxa"/>
          <w:vMerge/>
          <w:vAlign w:val="center"/>
        </w:tcPr>
        <w:p w14:paraId="68F5C2A1" w14:textId="77777777" w:rsidR="00FF3749" w:rsidRPr="00EC47DC" w:rsidRDefault="00FF3749" w:rsidP="0035648D">
          <w:pPr>
            <w:pStyle w:val="Encabezado"/>
            <w:jc w:val="center"/>
            <w:rPr>
              <w:rFonts w:ascii="Verdana" w:hAnsi="Verdana" w:cs="Arial"/>
              <w:sz w:val="20"/>
              <w:szCs w:val="20"/>
            </w:rPr>
          </w:pPr>
        </w:p>
      </w:tc>
      <w:tc>
        <w:tcPr>
          <w:tcW w:w="5772" w:type="dxa"/>
          <w:vMerge/>
          <w:vAlign w:val="center"/>
        </w:tcPr>
        <w:p w14:paraId="37387BBF" w14:textId="77777777" w:rsidR="00FF3749" w:rsidRPr="00EC47DC" w:rsidRDefault="00FF3749" w:rsidP="0035648D">
          <w:pPr>
            <w:pStyle w:val="Encabezado"/>
            <w:jc w:val="center"/>
            <w:rPr>
              <w:rFonts w:ascii="Verdana" w:hAnsi="Verdana" w:cs="Arial"/>
              <w:b/>
              <w:color w:val="0000CC"/>
              <w:sz w:val="20"/>
              <w:szCs w:val="20"/>
            </w:rPr>
          </w:pPr>
        </w:p>
      </w:tc>
      <w:tc>
        <w:tcPr>
          <w:tcW w:w="2272" w:type="dxa"/>
          <w:vAlign w:val="center"/>
        </w:tcPr>
        <w:p w14:paraId="0CF01F63" w14:textId="77777777" w:rsidR="00FF3749" w:rsidRPr="00EC47DC" w:rsidRDefault="00FF3749" w:rsidP="008D4834">
          <w:pPr>
            <w:pStyle w:val="Encabezado"/>
            <w:rPr>
              <w:rFonts w:ascii="Verdana" w:hAnsi="Verdana" w:cs="Arial"/>
              <w:sz w:val="20"/>
              <w:szCs w:val="20"/>
            </w:rPr>
          </w:pPr>
          <w:r w:rsidRPr="00EC47DC">
            <w:rPr>
              <w:rFonts w:ascii="Verdana" w:hAnsi="Verdana" w:cs="Arial"/>
              <w:b/>
              <w:sz w:val="20"/>
              <w:szCs w:val="20"/>
            </w:rPr>
            <w:t>Fecha:</w:t>
          </w:r>
          <w:r w:rsidRPr="00EC47DC">
            <w:rPr>
              <w:rFonts w:ascii="Verdana" w:hAnsi="Verdana" w:cs="Arial"/>
              <w:sz w:val="20"/>
              <w:szCs w:val="20"/>
            </w:rPr>
            <w:t>19/07/2024</w:t>
          </w:r>
        </w:p>
      </w:tc>
    </w:tr>
    <w:tr w:rsidR="00FF3749" w:rsidRPr="00EC47DC" w14:paraId="55CB5DA1" w14:textId="77777777" w:rsidTr="00EC47DC">
      <w:trPr>
        <w:trHeight w:val="253"/>
      </w:trPr>
      <w:tc>
        <w:tcPr>
          <w:tcW w:w="2421" w:type="dxa"/>
          <w:vMerge/>
          <w:vAlign w:val="center"/>
        </w:tcPr>
        <w:p w14:paraId="1CE82551" w14:textId="77777777" w:rsidR="00FF3749" w:rsidRPr="00EC47DC" w:rsidRDefault="00FF3749" w:rsidP="0035648D">
          <w:pPr>
            <w:pStyle w:val="Encabezado"/>
            <w:jc w:val="center"/>
            <w:rPr>
              <w:rFonts w:ascii="Verdana" w:hAnsi="Verdana" w:cs="Arial"/>
              <w:sz w:val="20"/>
              <w:szCs w:val="20"/>
            </w:rPr>
          </w:pPr>
        </w:p>
      </w:tc>
      <w:tc>
        <w:tcPr>
          <w:tcW w:w="5772" w:type="dxa"/>
          <w:vMerge/>
          <w:vAlign w:val="center"/>
        </w:tcPr>
        <w:p w14:paraId="10EC5CE2" w14:textId="77777777" w:rsidR="00FF3749" w:rsidRPr="00EC47DC" w:rsidRDefault="00FF3749" w:rsidP="0035648D">
          <w:pPr>
            <w:pStyle w:val="Encabezado"/>
            <w:rPr>
              <w:rFonts w:ascii="Verdana" w:hAnsi="Verdana" w:cs="Arial"/>
              <w:b/>
              <w:sz w:val="20"/>
              <w:szCs w:val="20"/>
            </w:rPr>
          </w:pPr>
        </w:p>
      </w:tc>
      <w:tc>
        <w:tcPr>
          <w:tcW w:w="2272" w:type="dxa"/>
          <w:vAlign w:val="center"/>
        </w:tcPr>
        <w:p w14:paraId="56B41661" w14:textId="77777777" w:rsidR="00FF3749" w:rsidRPr="00EC47DC" w:rsidRDefault="00FF3749" w:rsidP="0070212F">
          <w:pPr>
            <w:pStyle w:val="Encabezado"/>
            <w:rPr>
              <w:rFonts w:ascii="Verdana" w:hAnsi="Verdana" w:cs="Arial"/>
              <w:sz w:val="20"/>
              <w:szCs w:val="20"/>
            </w:rPr>
          </w:pPr>
          <w:r w:rsidRPr="00EC47DC">
            <w:rPr>
              <w:rFonts w:ascii="Verdana" w:hAnsi="Verdana" w:cs="Arial"/>
              <w:b/>
              <w:sz w:val="20"/>
              <w:szCs w:val="20"/>
            </w:rPr>
            <w:t>Versión:</w:t>
          </w:r>
          <w:r w:rsidRPr="00EC47DC">
            <w:rPr>
              <w:rFonts w:ascii="Verdana" w:hAnsi="Verdana" w:cs="Arial"/>
              <w:sz w:val="20"/>
              <w:szCs w:val="20"/>
            </w:rPr>
            <w:t xml:space="preserve"> 02</w:t>
          </w:r>
        </w:p>
      </w:tc>
    </w:tr>
  </w:tbl>
  <w:p w14:paraId="75D3D3E2" w14:textId="77777777" w:rsidR="00FF3749" w:rsidRDefault="00FF3749">
    <w:pPr>
      <w:pStyle w:val="Encabezado"/>
    </w:pPr>
  </w:p>
  <w:p w14:paraId="5A74829B" w14:textId="77777777" w:rsidR="00FF3749" w:rsidRDefault="00FF374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9309D"/>
    <w:multiLevelType w:val="multilevel"/>
    <w:tmpl w:val="88A6D3D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 w15:restartNumberingAfterBreak="0">
    <w:nsid w:val="008E04EB"/>
    <w:multiLevelType w:val="multilevel"/>
    <w:tmpl w:val="7C46088A"/>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C75AB1"/>
    <w:multiLevelType w:val="multilevel"/>
    <w:tmpl w:val="8966B6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F386E"/>
    <w:multiLevelType w:val="multilevel"/>
    <w:tmpl w:val="3EF46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AF423A"/>
    <w:multiLevelType w:val="multilevel"/>
    <w:tmpl w:val="EE90C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CA3D58"/>
    <w:multiLevelType w:val="multilevel"/>
    <w:tmpl w:val="30188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FE1FAB"/>
    <w:multiLevelType w:val="multilevel"/>
    <w:tmpl w:val="36B64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860E44"/>
    <w:multiLevelType w:val="multilevel"/>
    <w:tmpl w:val="12B03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691FC4"/>
    <w:multiLevelType w:val="multilevel"/>
    <w:tmpl w:val="C5B2BE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12C42A0D"/>
    <w:multiLevelType w:val="multilevel"/>
    <w:tmpl w:val="83EEAE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6BF477B"/>
    <w:multiLevelType w:val="multilevel"/>
    <w:tmpl w:val="2098B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C36B43"/>
    <w:multiLevelType w:val="hybridMultilevel"/>
    <w:tmpl w:val="7E5E5F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77816DD"/>
    <w:multiLevelType w:val="multilevel"/>
    <w:tmpl w:val="AEB87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977316D"/>
    <w:multiLevelType w:val="multilevel"/>
    <w:tmpl w:val="B56E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E5716E"/>
    <w:multiLevelType w:val="multilevel"/>
    <w:tmpl w:val="9F70F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B9C7640"/>
    <w:multiLevelType w:val="multilevel"/>
    <w:tmpl w:val="8B26D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BC213E5"/>
    <w:multiLevelType w:val="multilevel"/>
    <w:tmpl w:val="CEB46988"/>
    <w:lvl w:ilvl="0">
      <w:start w:val="1"/>
      <w:numFmt w:val="bullet"/>
      <w:lvlText w:val="●"/>
      <w:lvlJc w:val="left"/>
      <w:pPr>
        <w:ind w:left="360" w:hanging="360"/>
      </w:pPr>
      <w:rPr>
        <w:u w:val="none"/>
      </w:rPr>
    </w:lvl>
    <w:lvl w:ilvl="1">
      <w:start w:val="1"/>
      <w:numFmt w:val="bullet"/>
      <w:lvlText w:val="o"/>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7" w15:restartNumberingAfterBreak="0">
    <w:nsid w:val="1E87655C"/>
    <w:multiLevelType w:val="multilevel"/>
    <w:tmpl w:val="AD227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13A5781"/>
    <w:multiLevelType w:val="hybridMultilevel"/>
    <w:tmpl w:val="90FA5B1C"/>
    <w:lvl w:ilvl="0" w:tplc="240A0017">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9" w15:restartNumberingAfterBreak="0">
    <w:nsid w:val="218B0CF3"/>
    <w:multiLevelType w:val="multilevel"/>
    <w:tmpl w:val="91BC7218"/>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20" w15:restartNumberingAfterBreak="0">
    <w:nsid w:val="227B6E3E"/>
    <w:multiLevelType w:val="multilevel"/>
    <w:tmpl w:val="1B804AD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234A7F28"/>
    <w:multiLevelType w:val="hybridMultilevel"/>
    <w:tmpl w:val="9E98CF7C"/>
    <w:lvl w:ilvl="0" w:tplc="240A0017">
      <w:start w:val="1"/>
      <w:numFmt w:val="lowerLetter"/>
      <w:lvlText w:val="%1)"/>
      <w:lvlJc w:val="left"/>
      <w:pPr>
        <w:ind w:left="1428" w:hanging="360"/>
      </w:pPr>
      <w:rPr>
        <w:rFonts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2" w15:restartNumberingAfterBreak="0">
    <w:nsid w:val="25DE7D1B"/>
    <w:multiLevelType w:val="hybridMultilevel"/>
    <w:tmpl w:val="8F96154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3" w15:restartNumberingAfterBreak="0">
    <w:nsid w:val="27A465B5"/>
    <w:multiLevelType w:val="multilevel"/>
    <w:tmpl w:val="24E86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CE47D2"/>
    <w:multiLevelType w:val="multilevel"/>
    <w:tmpl w:val="2BD4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8434CEC"/>
    <w:multiLevelType w:val="multilevel"/>
    <w:tmpl w:val="A01AA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ED3A68"/>
    <w:multiLevelType w:val="multilevel"/>
    <w:tmpl w:val="30023592"/>
    <w:lvl w:ilvl="0">
      <w:start w:val="1"/>
      <w:numFmt w:val="bullet"/>
      <w:lvlText w:val=""/>
      <w:lvlJc w:val="left"/>
      <w:pPr>
        <w:ind w:left="360" w:hanging="360"/>
      </w:pPr>
      <w:rPr>
        <w:rFonts w:ascii="Wingdings" w:hAnsi="Wingdings" w:hint="default"/>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7" w15:restartNumberingAfterBreak="0">
    <w:nsid w:val="2F714A62"/>
    <w:multiLevelType w:val="multilevel"/>
    <w:tmpl w:val="B5E6AB6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28" w15:restartNumberingAfterBreak="0">
    <w:nsid w:val="30CC314E"/>
    <w:multiLevelType w:val="multilevel"/>
    <w:tmpl w:val="BB1A89A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323D0065"/>
    <w:multiLevelType w:val="multilevel"/>
    <w:tmpl w:val="68D063A8"/>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34FB2FF5"/>
    <w:multiLevelType w:val="multilevel"/>
    <w:tmpl w:val="2D44D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70A4198"/>
    <w:multiLevelType w:val="hybridMultilevel"/>
    <w:tmpl w:val="BECAFA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370D261B"/>
    <w:multiLevelType w:val="multilevel"/>
    <w:tmpl w:val="30663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A1E47F4"/>
    <w:multiLevelType w:val="hybridMultilevel"/>
    <w:tmpl w:val="5B403AC6"/>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4" w15:restartNumberingAfterBreak="0">
    <w:nsid w:val="3CCE5F46"/>
    <w:multiLevelType w:val="multilevel"/>
    <w:tmpl w:val="B1967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CCF0E48"/>
    <w:multiLevelType w:val="hybridMultilevel"/>
    <w:tmpl w:val="3EA47F0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3F6C6092"/>
    <w:multiLevelType w:val="multilevel"/>
    <w:tmpl w:val="F6526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F711E29"/>
    <w:multiLevelType w:val="multilevel"/>
    <w:tmpl w:val="310CE6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803FB9"/>
    <w:multiLevelType w:val="multilevel"/>
    <w:tmpl w:val="BF20D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1935B13"/>
    <w:multiLevelType w:val="multilevel"/>
    <w:tmpl w:val="501CC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43E4817"/>
    <w:multiLevelType w:val="multilevel"/>
    <w:tmpl w:val="F25C466E"/>
    <w:lvl w:ilvl="0">
      <w:start w:val="1"/>
      <w:numFmt w:val="bullet"/>
      <w:lvlText w:val=""/>
      <w:lvlJc w:val="left"/>
      <w:pPr>
        <w:tabs>
          <w:tab w:val="num" w:pos="360"/>
        </w:tabs>
        <w:ind w:left="360" w:hanging="360"/>
      </w:pPr>
      <w:rPr>
        <w:rFonts w:ascii="Symbol" w:hAnsi="Symbol" w:hint="default"/>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1" w15:restartNumberingAfterBreak="0">
    <w:nsid w:val="473341FC"/>
    <w:multiLevelType w:val="multilevel"/>
    <w:tmpl w:val="4714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7804315"/>
    <w:multiLevelType w:val="multilevel"/>
    <w:tmpl w:val="62DAD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84073C4"/>
    <w:multiLevelType w:val="multilevel"/>
    <w:tmpl w:val="47448EA4"/>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99053FE"/>
    <w:multiLevelType w:val="multilevel"/>
    <w:tmpl w:val="0B82001A"/>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45" w15:restartNumberingAfterBreak="0">
    <w:nsid w:val="49DF3017"/>
    <w:multiLevelType w:val="multilevel"/>
    <w:tmpl w:val="1CE01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AAF6AD8"/>
    <w:multiLevelType w:val="hybridMultilevel"/>
    <w:tmpl w:val="4F7A4F9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7" w15:restartNumberingAfterBreak="0">
    <w:nsid w:val="4C08209E"/>
    <w:multiLevelType w:val="multilevel"/>
    <w:tmpl w:val="2CD65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C4405E8"/>
    <w:multiLevelType w:val="multilevel"/>
    <w:tmpl w:val="7F8CAEDA"/>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C4D688F"/>
    <w:multiLevelType w:val="multilevel"/>
    <w:tmpl w:val="F912A8DC"/>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50" w15:restartNumberingAfterBreak="0">
    <w:nsid w:val="4E445486"/>
    <w:multiLevelType w:val="multilevel"/>
    <w:tmpl w:val="BAD61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E4B5537"/>
    <w:multiLevelType w:val="multilevel"/>
    <w:tmpl w:val="EDC2B0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548A7678"/>
    <w:multiLevelType w:val="multilevel"/>
    <w:tmpl w:val="798A0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7633865"/>
    <w:multiLevelType w:val="hybridMultilevel"/>
    <w:tmpl w:val="8F145F30"/>
    <w:lvl w:ilvl="0" w:tplc="240A0009">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4" w15:restartNumberingAfterBreak="0">
    <w:nsid w:val="576516E2"/>
    <w:multiLevelType w:val="multilevel"/>
    <w:tmpl w:val="3BA0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8381914"/>
    <w:multiLevelType w:val="multilevel"/>
    <w:tmpl w:val="B992B0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6" w15:restartNumberingAfterBreak="0">
    <w:nsid w:val="589D496B"/>
    <w:multiLevelType w:val="multilevel"/>
    <w:tmpl w:val="85441D22"/>
    <w:lvl w:ilvl="0">
      <w:start w:val="1"/>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7" w15:restartNumberingAfterBreak="0">
    <w:nsid w:val="5AA2398A"/>
    <w:multiLevelType w:val="multilevel"/>
    <w:tmpl w:val="67940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C196648"/>
    <w:multiLevelType w:val="multilevel"/>
    <w:tmpl w:val="65721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C9D49DF"/>
    <w:multiLevelType w:val="multilevel"/>
    <w:tmpl w:val="71704184"/>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60" w15:restartNumberingAfterBreak="0">
    <w:nsid w:val="5DA71C8A"/>
    <w:multiLevelType w:val="multilevel"/>
    <w:tmpl w:val="1D443C68"/>
    <w:lvl w:ilvl="0">
      <w:start w:val="4"/>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61" w15:restartNumberingAfterBreak="0">
    <w:nsid w:val="5E745DB3"/>
    <w:multiLevelType w:val="multilevel"/>
    <w:tmpl w:val="A9DAA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0944B33"/>
    <w:multiLevelType w:val="multilevel"/>
    <w:tmpl w:val="332690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3" w15:restartNumberingAfterBreak="0">
    <w:nsid w:val="63712A63"/>
    <w:multiLevelType w:val="multilevel"/>
    <w:tmpl w:val="F078BBA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4" w15:restartNumberingAfterBreak="0">
    <w:nsid w:val="63B20024"/>
    <w:multiLevelType w:val="multilevel"/>
    <w:tmpl w:val="2C5E9238"/>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5" w15:restartNumberingAfterBreak="0">
    <w:nsid w:val="641F4FAE"/>
    <w:multiLevelType w:val="multilevel"/>
    <w:tmpl w:val="FE48C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4695E1F"/>
    <w:multiLevelType w:val="multilevel"/>
    <w:tmpl w:val="E20697C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7" w15:restartNumberingAfterBreak="0">
    <w:nsid w:val="64F7232E"/>
    <w:multiLevelType w:val="multilevel"/>
    <w:tmpl w:val="9F1C71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662978C4"/>
    <w:multiLevelType w:val="multilevel"/>
    <w:tmpl w:val="B22CD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63D118C"/>
    <w:multiLevelType w:val="multilevel"/>
    <w:tmpl w:val="901C0678"/>
    <w:lvl w:ilvl="0">
      <w:start w:val="1"/>
      <w:numFmt w:val="lowerLetter"/>
      <w:lvlText w:val="%1)"/>
      <w:lvlJc w:val="left"/>
      <w:pPr>
        <w:ind w:left="360" w:hanging="360"/>
      </w:pPr>
      <w:rPr>
        <w:u w:val="none"/>
      </w:rPr>
    </w:lvl>
    <w:lvl w:ilvl="1">
      <w:start w:val="1"/>
      <w:numFmt w:val="lowerLetter"/>
      <w:lvlText w:val="%2."/>
      <w:lvlJc w:val="left"/>
      <w:pPr>
        <w:ind w:left="1156" w:hanging="360"/>
      </w:pPr>
      <w:rPr>
        <w:u w:val="none"/>
      </w:rPr>
    </w:lvl>
    <w:lvl w:ilvl="2">
      <w:start w:val="1"/>
      <w:numFmt w:val="lowerRoman"/>
      <w:lvlText w:val="%3."/>
      <w:lvlJc w:val="right"/>
      <w:pPr>
        <w:ind w:left="1876" w:hanging="360"/>
      </w:pPr>
      <w:rPr>
        <w:u w:val="none"/>
      </w:rPr>
    </w:lvl>
    <w:lvl w:ilvl="3">
      <w:start w:val="1"/>
      <w:numFmt w:val="decimal"/>
      <w:lvlText w:val="%4."/>
      <w:lvlJc w:val="left"/>
      <w:pPr>
        <w:ind w:left="2596" w:hanging="360"/>
      </w:pPr>
      <w:rPr>
        <w:u w:val="none"/>
      </w:rPr>
    </w:lvl>
    <w:lvl w:ilvl="4">
      <w:start w:val="1"/>
      <w:numFmt w:val="lowerLetter"/>
      <w:lvlText w:val="%5."/>
      <w:lvlJc w:val="left"/>
      <w:pPr>
        <w:ind w:left="3316" w:hanging="360"/>
      </w:pPr>
      <w:rPr>
        <w:u w:val="none"/>
      </w:rPr>
    </w:lvl>
    <w:lvl w:ilvl="5">
      <w:start w:val="1"/>
      <w:numFmt w:val="lowerRoman"/>
      <w:lvlText w:val="%6."/>
      <w:lvlJc w:val="right"/>
      <w:pPr>
        <w:ind w:left="4036" w:hanging="360"/>
      </w:pPr>
      <w:rPr>
        <w:u w:val="none"/>
      </w:rPr>
    </w:lvl>
    <w:lvl w:ilvl="6">
      <w:start w:val="1"/>
      <w:numFmt w:val="decimal"/>
      <w:lvlText w:val="%7."/>
      <w:lvlJc w:val="left"/>
      <w:pPr>
        <w:ind w:left="4756" w:hanging="360"/>
      </w:pPr>
      <w:rPr>
        <w:u w:val="none"/>
      </w:rPr>
    </w:lvl>
    <w:lvl w:ilvl="7">
      <w:start w:val="1"/>
      <w:numFmt w:val="lowerLetter"/>
      <w:lvlText w:val="%8."/>
      <w:lvlJc w:val="left"/>
      <w:pPr>
        <w:ind w:left="5476" w:hanging="360"/>
      </w:pPr>
      <w:rPr>
        <w:u w:val="none"/>
      </w:rPr>
    </w:lvl>
    <w:lvl w:ilvl="8">
      <w:start w:val="1"/>
      <w:numFmt w:val="lowerRoman"/>
      <w:lvlText w:val="%9."/>
      <w:lvlJc w:val="right"/>
      <w:pPr>
        <w:ind w:left="6196" w:hanging="360"/>
      </w:pPr>
      <w:rPr>
        <w:u w:val="none"/>
      </w:rPr>
    </w:lvl>
  </w:abstractNum>
  <w:abstractNum w:abstractNumId="70" w15:restartNumberingAfterBreak="0">
    <w:nsid w:val="66576C4F"/>
    <w:multiLevelType w:val="multilevel"/>
    <w:tmpl w:val="D3B44EDA"/>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8F25295"/>
    <w:multiLevelType w:val="multilevel"/>
    <w:tmpl w:val="EF3C8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9DD0C5C"/>
    <w:multiLevelType w:val="multilevel"/>
    <w:tmpl w:val="945E8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A3E0F2F"/>
    <w:multiLevelType w:val="hybridMultilevel"/>
    <w:tmpl w:val="7592EEE4"/>
    <w:lvl w:ilvl="0" w:tplc="240A0017">
      <w:start w:val="1"/>
      <w:numFmt w:val="lowerLetter"/>
      <w:lvlText w:val="%1)"/>
      <w:lvlJc w:val="left"/>
      <w:pPr>
        <w:ind w:left="1788" w:hanging="360"/>
      </w:pPr>
    </w:lvl>
    <w:lvl w:ilvl="1" w:tplc="240A0019" w:tentative="1">
      <w:start w:val="1"/>
      <w:numFmt w:val="lowerLetter"/>
      <w:lvlText w:val="%2."/>
      <w:lvlJc w:val="left"/>
      <w:pPr>
        <w:ind w:left="2508" w:hanging="360"/>
      </w:pPr>
    </w:lvl>
    <w:lvl w:ilvl="2" w:tplc="240A001B" w:tentative="1">
      <w:start w:val="1"/>
      <w:numFmt w:val="lowerRoman"/>
      <w:lvlText w:val="%3."/>
      <w:lvlJc w:val="right"/>
      <w:pPr>
        <w:ind w:left="3228" w:hanging="180"/>
      </w:pPr>
    </w:lvl>
    <w:lvl w:ilvl="3" w:tplc="240A000F" w:tentative="1">
      <w:start w:val="1"/>
      <w:numFmt w:val="decimal"/>
      <w:lvlText w:val="%4."/>
      <w:lvlJc w:val="left"/>
      <w:pPr>
        <w:ind w:left="3948" w:hanging="360"/>
      </w:pPr>
    </w:lvl>
    <w:lvl w:ilvl="4" w:tplc="240A0019" w:tentative="1">
      <w:start w:val="1"/>
      <w:numFmt w:val="lowerLetter"/>
      <w:lvlText w:val="%5."/>
      <w:lvlJc w:val="left"/>
      <w:pPr>
        <w:ind w:left="4668" w:hanging="360"/>
      </w:pPr>
    </w:lvl>
    <w:lvl w:ilvl="5" w:tplc="240A001B" w:tentative="1">
      <w:start w:val="1"/>
      <w:numFmt w:val="lowerRoman"/>
      <w:lvlText w:val="%6."/>
      <w:lvlJc w:val="right"/>
      <w:pPr>
        <w:ind w:left="5388" w:hanging="180"/>
      </w:pPr>
    </w:lvl>
    <w:lvl w:ilvl="6" w:tplc="240A000F" w:tentative="1">
      <w:start w:val="1"/>
      <w:numFmt w:val="decimal"/>
      <w:lvlText w:val="%7."/>
      <w:lvlJc w:val="left"/>
      <w:pPr>
        <w:ind w:left="6108" w:hanging="360"/>
      </w:pPr>
    </w:lvl>
    <w:lvl w:ilvl="7" w:tplc="240A0019" w:tentative="1">
      <w:start w:val="1"/>
      <w:numFmt w:val="lowerLetter"/>
      <w:lvlText w:val="%8."/>
      <w:lvlJc w:val="left"/>
      <w:pPr>
        <w:ind w:left="6828" w:hanging="360"/>
      </w:pPr>
    </w:lvl>
    <w:lvl w:ilvl="8" w:tplc="240A001B" w:tentative="1">
      <w:start w:val="1"/>
      <w:numFmt w:val="lowerRoman"/>
      <w:lvlText w:val="%9."/>
      <w:lvlJc w:val="right"/>
      <w:pPr>
        <w:ind w:left="7548" w:hanging="180"/>
      </w:pPr>
    </w:lvl>
  </w:abstractNum>
  <w:abstractNum w:abstractNumId="74" w15:restartNumberingAfterBreak="0">
    <w:nsid w:val="6A5F1ED2"/>
    <w:multiLevelType w:val="multilevel"/>
    <w:tmpl w:val="41A0E56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75" w15:restartNumberingAfterBreak="0">
    <w:nsid w:val="6D2271E6"/>
    <w:multiLevelType w:val="multilevel"/>
    <w:tmpl w:val="87A08A3A"/>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76" w15:restartNumberingAfterBreak="0">
    <w:nsid w:val="6DA81341"/>
    <w:multiLevelType w:val="multilevel"/>
    <w:tmpl w:val="C64C0AB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7" w15:restartNumberingAfterBreak="0">
    <w:nsid w:val="70B640F4"/>
    <w:multiLevelType w:val="multilevel"/>
    <w:tmpl w:val="3D9E2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1162C59"/>
    <w:multiLevelType w:val="multilevel"/>
    <w:tmpl w:val="2D127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14233F8"/>
    <w:multiLevelType w:val="multilevel"/>
    <w:tmpl w:val="EDB4CE1A"/>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80" w15:restartNumberingAfterBreak="0">
    <w:nsid w:val="72933E38"/>
    <w:multiLevelType w:val="multilevel"/>
    <w:tmpl w:val="55143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44B2751"/>
    <w:multiLevelType w:val="multilevel"/>
    <w:tmpl w:val="A4780838"/>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5963B04"/>
    <w:multiLevelType w:val="multilevel"/>
    <w:tmpl w:val="AEEAC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75CD0305"/>
    <w:multiLevelType w:val="hybridMultilevel"/>
    <w:tmpl w:val="EEC47B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4" w15:restartNumberingAfterBreak="0">
    <w:nsid w:val="772A6066"/>
    <w:multiLevelType w:val="multilevel"/>
    <w:tmpl w:val="E23EF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7AEA2499"/>
    <w:multiLevelType w:val="multilevel"/>
    <w:tmpl w:val="6A6E8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7EF7219D"/>
    <w:multiLevelType w:val="multilevel"/>
    <w:tmpl w:val="54B8B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6912049">
    <w:abstractNumId w:val="11"/>
  </w:num>
  <w:num w:numId="2" w16cid:durableId="412704265">
    <w:abstractNumId w:val="81"/>
  </w:num>
  <w:num w:numId="3" w16cid:durableId="1706251561">
    <w:abstractNumId w:val="19"/>
  </w:num>
  <w:num w:numId="4" w16cid:durableId="1937010039">
    <w:abstractNumId w:val="60"/>
  </w:num>
  <w:num w:numId="5" w16cid:durableId="1005519242">
    <w:abstractNumId w:val="48"/>
  </w:num>
  <w:num w:numId="6" w16cid:durableId="1199047790">
    <w:abstractNumId w:val="18"/>
  </w:num>
  <w:num w:numId="7" w16cid:durableId="1541817736">
    <w:abstractNumId w:val="1"/>
  </w:num>
  <w:num w:numId="8" w16cid:durableId="1919243235">
    <w:abstractNumId w:val="73"/>
  </w:num>
  <w:num w:numId="9" w16cid:durableId="1702122259">
    <w:abstractNumId w:val="21"/>
  </w:num>
  <w:num w:numId="10" w16cid:durableId="1044476847">
    <w:abstractNumId w:val="54"/>
  </w:num>
  <w:num w:numId="11" w16cid:durableId="1561019571">
    <w:abstractNumId w:val="61"/>
  </w:num>
  <w:num w:numId="12" w16cid:durableId="868420233">
    <w:abstractNumId w:val="31"/>
  </w:num>
  <w:num w:numId="13" w16cid:durableId="1321041805">
    <w:abstractNumId w:val="49"/>
  </w:num>
  <w:num w:numId="14" w16cid:durableId="28460063">
    <w:abstractNumId w:val="0"/>
  </w:num>
  <w:num w:numId="15" w16cid:durableId="861432359">
    <w:abstractNumId w:val="16"/>
  </w:num>
  <w:num w:numId="16" w16cid:durableId="714739358">
    <w:abstractNumId w:val="56"/>
  </w:num>
  <w:num w:numId="17" w16cid:durableId="1518814106">
    <w:abstractNumId w:val="74"/>
  </w:num>
  <w:num w:numId="18" w16cid:durableId="1889102764">
    <w:abstractNumId w:val="59"/>
  </w:num>
  <w:num w:numId="19" w16cid:durableId="1505314829">
    <w:abstractNumId w:val="44"/>
  </w:num>
  <w:num w:numId="20" w16cid:durableId="166219152">
    <w:abstractNumId w:val="69"/>
  </w:num>
  <w:num w:numId="21" w16cid:durableId="1964381905">
    <w:abstractNumId w:val="75"/>
  </w:num>
  <w:num w:numId="22" w16cid:durableId="565458495">
    <w:abstractNumId w:val="27"/>
  </w:num>
  <w:num w:numId="23" w16cid:durableId="25569462">
    <w:abstractNumId w:val="64"/>
  </w:num>
  <w:num w:numId="24" w16cid:durableId="1891842352">
    <w:abstractNumId w:val="26"/>
  </w:num>
  <w:num w:numId="25" w16cid:durableId="1432507889">
    <w:abstractNumId w:val="20"/>
  </w:num>
  <w:num w:numId="26" w16cid:durableId="795752875">
    <w:abstractNumId w:val="22"/>
  </w:num>
  <w:num w:numId="27" w16cid:durableId="2131048990">
    <w:abstractNumId w:val="53"/>
  </w:num>
  <w:num w:numId="28" w16cid:durableId="1196576192">
    <w:abstractNumId w:val="63"/>
  </w:num>
  <w:num w:numId="29" w16cid:durableId="1625504706">
    <w:abstractNumId w:val="46"/>
  </w:num>
  <w:num w:numId="30" w16cid:durableId="1309214617">
    <w:abstractNumId w:val="29"/>
  </w:num>
  <w:num w:numId="31" w16cid:durableId="1703432361">
    <w:abstractNumId w:val="35"/>
  </w:num>
  <w:num w:numId="32" w16cid:durableId="1999112153">
    <w:abstractNumId w:val="2"/>
  </w:num>
  <w:num w:numId="33" w16cid:durableId="739449498">
    <w:abstractNumId w:val="55"/>
  </w:num>
  <w:num w:numId="34" w16cid:durableId="1331983335">
    <w:abstractNumId w:val="62"/>
  </w:num>
  <w:num w:numId="35" w16cid:durableId="1508326336">
    <w:abstractNumId w:val="40"/>
  </w:num>
  <w:num w:numId="36" w16cid:durableId="2081362603">
    <w:abstractNumId w:val="66"/>
  </w:num>
  <w:num w:numId="37" w16cid:durableId="1726416343">
    <w:abstractNumId w:val="33"/>
  </w:num>
  <w:num w:numId="38" w16cid:durableId="192814408">
    <w:abstractNumId w:val="51"/>
  </w:num>
  <w:num w:numId="39" w16cid:durableId="1603223674">
    <w:abstractNumId w:val="47"/>
  </w:num>
  <w:num w:numId="40" w16cid:durableId="54011724">
    <w:abstractNumId w:val="41"/>
  </w:num>
  <w:num w:numId="41" w16cid:durableId="2133866555">
    <w:abstractNumId w:val="28"/>
  </w:num>
  <w:num w:numId="42" w16cid:durableId="279919172">
    <w:abstractNumId w:val="14"/>
  </w:num>
  <w:num w:numId="43" w16cid:durableId="871839633">
    <w:abstractNumId w:val="77"/>
  </w:num>
  <w:num w:numId="44" w16cid:durableId="1221986404">
    <w:abstractNumId w:val="12"/>
  </w:num>
  <w:num w:numId="45" w16cid:durableId="1365207937">
    <w:abstractNumId w:val="52"/>
  </w:num>
  <w:num w:numId="46" w16cid:durableId="912860227">
    <w:abstractNumId w:val="78"/>
  </w:num>
  <w:num w:numId="47" w16cid:durableId="52117638">
    <w:abstractNumId w:val="65"/>
  </w:num>
  <w:num w:numId="48" w16cid:durableId="281501504">
    <w:abstractNumId w:val="15"/>
  </w:num>
  <w:num w:numId="49" w16cid:durableId="113062988">
    <w:abstractNumId w:val="83"/>
  </w:num>
  <w:num w:numId="50" w16cid:durableId="1243182917">
    <w:abstractNumId w:val="82"/>
  </w:num>
  <w:num w:numId="51" w16cid:durableId="706636778">
    <w:abstractNumId w:val="84"/>
  </w:num>
  <w:num w:numId="52" w16cid:durableId="225259140">
    <w:abstractNumId w:val="25"/>
  </w:num>
  <w:num w:numId="53" w16cid:durableId="1144467227">
    <w:abstractNumId w:val="34"/>
  </w:num>
  <w:num w:numId="54" w16cid:durableId="879363073">
    <w:abstractNumId w:val="71"/>
  </w:num>
  <w:num w:numId="55" w16cid:durableId="666791822">
    <w:abstractNumId w:val="38"/>
  </w:num>
  <w:num w:numId="56" w16cid:durableId="1121386801">
    <w:abstractNumId w:val="9"/>
  </w:num>
  <w:num w:numId="57" w16cid:durableId="101844884">
    <w:abstractNumId w:val="8"/>
  </w:num>
  <w:num w:numId="58" w16cid:durableId="1432697148">
    <w:abstractNumId w:val="76"/>
  </w:num>
  <w:num w:numId="59" w16cid:durableId="439031255">
    <w:abstractNumId w:val="70"/>
  </w:num>
  <w:num w:numId="60" w16cid:durableId="1413312837">
    <w:abstractNumId w:val="7"/>
  </w:num>
  <w:num w:numId="61" w16cid:durableId="247273251">
    <w:abstractNumId w:val="3"/>
  </w:num>
  <w:num w:numId="62" w16cid:durableId="669285843">
    <w:abstractNumId w:val="43"/>
  </w:num>
  <w:num w:numId="63" w16cid:durableId="712846206">
    <w:abstractNumId w:val="5"/>
  </w:num>
  <w:num w:numId="64" w16cid:durableId="1128545201">
    <w:abstractNumId w:val="36"/>
  </w:num>
  <w:num w:numId="65" w16cid:durableId="1123966020">
    <w:abstractNumId w:val="67"/>
  </w:num>
  <w:num w:numId="66" w16cid:durableId="1097867248">
    <w:abstractNumId w:val="50"/>
  </w:num>
  <w:num w:numId="67" w16cid:durableId="531496985">
    <w:abstractNumId w:val="86"/>
  </w:num>
  <w:num w:numId="68" w16cid:durableId="744571656">
    <w:abstractNumId w:val="68"/>
  </w:num>
  <w:num w:numId="69" w16cid:durableId="1368142862">
    <w:abstractNumId w:val="10"/>
  </w:num>
  <w:num w:numId="70" w16cid:durableId="1926332120">
    <w:abstractNumId w:val="24"/>
  </w:num>
  <w:num w:numId="71" w16cid:durableId="1373653692">
    <w:abstractNumId w:val="72"/>
  </w:num>
  <w:num w:numId="72" w16cid:durableId="1805200948">
    <w:abstractNumId w:val="42"/>
  </w:num>
  <w:num w:numId="73" w16cid:durableId="1494032657">
    <w:abstractNumId w:val="45"/>
  </w:num>
  <w:num w:numId="74" w16cid:durableId="928386462">
    <w:abstractNumId w:val="39"/>
  </w:num>
  <w:num w:numId="75" w16cid:durableId="1575236200">
    <w:abstractNumId w:val="17"/>
  </w:num>
  <w:num w:numId="76" w16cid:durableId="89593115">
    <w:abstractNumId w:val="32"/>
  </w:num>
  <w:num w:numId="77" w16cid:durableId="1282374973">
    <w:abstractNumId w:val="13"/>
  </w:num>
  <w:num w:numId="78" w16cid:durableId="282540088">
    <w:abstractNumId w:val="57"/>
  </w:num>
  <w:num w:numId="79" w16cid:durableId="888883852">
    <w:abstractNumId w:val="6"/>
  </w:num>
  <w:num w:numId="80" w16cid:durableId="212162107">
    <w:abstractNumId w:val="23"/>
  </w:num>
  <w:num w:numId="81" w16cid:durableId="1666202514">
    <w:abstractNumId w:val="85"/>
  </w:num>
  <w:num w:numId="82" w16cid:durableId="1192232026">
    <w:abstractNumId w:val="37"/>
  </w:num>
  <w:num w:numId="83" w16cid:durableId="1037395306">
    <w:abstractNumId w:val="30"/>
  </w:num>
  <w:num w:numId="84" w16cid:durableId="420486939">
    <w:abstractNumId w:val="80"/>
  </w:num>
  <w:num w:numId="85" w16cid:durableId="42561492">
    <w:abstractNumId w:val="4"/>
  </w:num>
  <w:num w:numId="86" w16cid:durableId="1039551016">
    <w:abstractNumId w:val="79"/>
  </w:num>
  <w:num w:numId="87" w16cid:durableId="2103841409">
    <w:abstractNumId w:val="58"/>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749"/>
    <w:rsid w:val="00054C0E"/>
    <w:rsid w:val="00056F2D"/>
    <w:rsid w:val="00074483"/>
    <w:rsid w:val="000D46B3"/>
    <w:rsid w:val="000F0CCE"/>
    <w:rsid w:val="001034E0"/>
    <w:rsid w:val="00151AC0"/>
    <w:rsid w:val="00161D84"/>
    <w:rsid w:val="001806A9"/>
    <w:rsid w:val="00186334"/>
    <w:rsid w:val="001D77BC"/>
    <w:rsid w:val="00231D20"/>
    <w:rsid w:val="0023546D"/>
    <w:rsid w:val="002E6BF9"/>
    <w:rsid w:val="00301181"/>
    <w:rsid w:val="003410DA"/>
    <w:rsid w:val="0039372D"/>
    <w:rsid w:val="003946E8"/>
    <w:rsid w:val="00395E62"/>
    <w:rsid w:val="003A41F9"/>
    <w:rsid w:val="003A5474"/>
    <w:rsid w:val="003A71BA"/>
    <w:rsid w:val="003D4830"/>
    <w:rsid w:val="00457A42"/>
    <w:rsid w:val="00485FDF"/>
    <w:rsid w:val="004D2FA2"/>
    <w:rsid w:val="004F2E37"/>
    <w:rsid w:val="00514CF9"/>
    <w:rsid w:val="00534B6D"/>
    <w:rsid w:val="00591D49"/>
    <w:rsid w:val="0062438B"/>
    <w:rsid w:val="00646A21"/>
    <w:rsid w:val="00661B99"/>
    <w:rsid w:val="006C4139"/>
    <w:rsid w:val="006E6315"/>
    <w:rsid w:val="006F7086"/>
    <w:rsid w:val="007B4263"/>
    <w:rsid w:val="007B4FD4"/>
    <w:rsid w:val="008057E4"/>
    <w:rsid w:val="00816E0B"/>
    <w:rsid w:val="00856215"/>
    <w:rsid w:val="008A08B5"/>
    <w:rsid w:val="00907757"/>
    <w:rsid w:val="00994245"/>
    <w:rsid w:val="009C2102"/>
    <w:rsid w:val="009F1B25"/>
    <w:rsid w:val="00A33024"/>
    <w:rsid w:val="00AC7852"/>
    <w:rsid w:val="00B22E3C"/>
    <w:rsid w:val="00BA1F10"/>
    <w:rsid w:val="00BA2A2B"/>
    <w:rsid w:val="00BD62F4"/>
    <w:rsid w:val="00D64B90"/>
    <w:rsid w:val="00D656AE"/>
    <w:rsid w:val="00D85A56"/>
    <w:rsid w:val="00DE0826"/>
    <w:rsid w:val="00E27C64"/>
    <w:rsid w:val="00E31F4A"/>
    <w:rsid w:val="00E75EA2"/>
    <w:rsid w:val="00E81690"/>
    <w:rsid w:val="00F03248"/>
    <w:rsid w:val="00F3337C"/>
    <w:rsid w:val="00FD04C0"/>
    <w:rsid w:val="00FD6FE1"/>
    <w:rsid w:val="00FF374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5EBB8"/>
  <w15:chartTrackingRefBased/>
  <w15:docId w15:val="{86A83CAD-E25E-4272-B679-401BBF73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749"/>
    <w:pPr>
      <w:spacing w:after="0" w:line="240" w:lineRule="auto"/>
    </w:pPr>
    <w:rPr>
      <w:kern w:val="0"/>
      <w:sz w:val="24"/>
      <w:szCs w:val="24"/>
      <w14:ligatures w14:val="none"/>
    </w:rPr>
  </w:style>
  <w:style w:type="paragraph" w:styleId="Ttulo1">
    <w:name w:val="heading 1"/>
    <w:basedOn w:val="Normal"/>
    <w:next w:val="Normal"/>
    <w:link w:val="Ttulo1Car"/>
    <w:uiPriority w:val="9"/>
    <w:qFormat/>
    <w:rsid w:val="00FF374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F374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F374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F374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F374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F3749"/>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F3749"/>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F3749"/>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F3749"/>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F374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F374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F374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F374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F374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F374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F374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F374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F3749"/>
    <w:rPr>
      <w:rFonts w:eastAsiaTheme="majorEastAsia" w:cstheme="majorBidi"/>
      <w:color w:val="272727" w:themeColor="text1" w:themeTint="D8"/>
    </w:rPr>
  </w:style>
  <w:style w:type="paragraph" w:styleId="Ttulo">
    <w:name w:val="Title"/>
    <w:basedOn w:val="Normal"/>
    <w:next w:val="Normal"/>
    <w:link w:val="TtuloCar"/>
    <w:uiPriority w:val="10"/>
    <w:qFormat/>
    <w:rsid w:val="00FF3749"/>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F374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F374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F374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F3749"/>
    <w:pPr>
      <w:spacing w:before="160"/>
      <w:jc w:val="center"/>
    </w:pPr>
    <w:rPr>
      <w:i/>
      <w:iCs/>
      <w:color w:val="404040" w:themeColor="text1" w:themeTint="BF"/>
    </w:rPr>
  </w:style>
  <w:style w:type="character" w:customStyle="1" w:styleId="CitaCar">
    <w:name w:val="Cita Car"/>
    <w:basedOn w:val="Fuentedeprrafopredeter"/>
    <w:link w:val="Cita"/>
    <w:uiPriority w:val="29"/>
    <w:rsid w:val="00FF3749"/>
    <w:rPr>
      <w:i/>
      <w:iCs/>
      <w:color w:val="404040" w:themeColor="text1" w:themeTint="BF"/>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FF3749"/>
    <w:pPr>
      <w:ind w:left="720"/>
      <w:contextualSpacing/>
    </w:pPr>
  </w:style>
  <w:style w:type="character" w:styleId="nfasisintenso">
    <w:name w:val="Intense Emphasis"/>
    <w:basedOn w:val="Fuentedeprrafopredeter"/>
    <w:uiPriority w:val="21"/>
    <w:qFormat/>
    <w:rsid w:val="00FF3749"/>
    <w:rPr>
      <w:i/>
      <w:iCs/>
      <w:color w:val="0F4761" w:themeColor="accent1" w:themeShade="BF"/>
    </w:rPr>
  </w:style>
  <w:style w:type="paragraph" w:styleId="Citadestacada">
    <w:name w:val="Intense Quote"/>
    <w:basedOn w:val="Normal"/>
    <w:next w:val="Normal"/>
    <w:link w:val="CitadestacadaCar"/>
    <w:uiPriority w:val="30"/>
    <w:qFormat/>
    <w:rsid w:val="00FF37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F3749"/>
    <w:rPr>
      <w:i/>
      <w:iCs/>
      <w:color w:val="0F4761" w:themeColor="accent1" w:themeShade="BF"/>
    </w:rPr>
  </w:style>
  <w:style w:type="character" w:styleId="Referenciaintensa">
    <w:name w:val="Intense Reference"/>
    <w:basedOn w:val="Fuentedeprrafopredeter"/>
    <w:uiPriority w:val="32"/>
    <w:qFormat/>
    <w:rsid w:val="00FF3749"/>
    <w:rPr>
      <w:b/>
      <w:bCs/>
      <w:smallCaps/>
      <w:color w:val="0F4761" w:themeColor="accent1" w:themeShade="BF"/>
      <w:spacing w:val="5"/>
    </w:rPr>
  </w:style>
  <w:style w:type="table" w:styleId="Tablaconcuadrcula">
    <w:name w:val="Table Grid"/>
    <w:basedOn w:val="Tablanormal"/>
    <w:uiPriority w:val="59"/>
    <w:rsid w:val="00FF3749"/>
    <w:pPr>
      <w:spacing w:after="0" w:line="240" w:lineRule="auto"/>
    </w:pPr>
    <w:rPr>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nhideWhenUsed/>
    <w:rsid w:val="00FF3749"/>
    <w:pPr>
      <w:tabs>
        <w:tab w:val="center" w:pos="4419"/>
        <w:tab w:val="right" w:pos="8838"/>
      </w:tabs>
    </w:pPr>
  </w:style>
  <w:style w:type="character" w:customStyle="1" w:styleId="EncabezadoCar">
    <w:name w:val="Encabezado Car"/>
    <w:basedOn w:val="Fuentedeprrafopredeter"/>
    <w:link w:val="Encabezado"/>
    <w:rsid w:val="00FF3749"/>
    <w:rPr>
      <w:kern w:val="0"/>
      <w:sz w:val="24"/>
      <w:szCs w:val="24"/>
      <w14:ligatures w14:val="none"/>
    </w:rPr>
  </w:style>
  <w:style w:type="paragraph" w:styleId="Piedepgina">
    <w:name w:val="footer"/>
    <w:basedOn w:val="Normal"/>
    <w:link w:val="PiedepginaCar"/>
    <w:uiPriority w:val="99"/>
    <w:unhideWhenUsed/>
    <w:rsid w:val="00FF3749"/>
    <w:pPr>
      <w:tabs>
        <w:tab w:val="center" w:pos="4419"/>
        <w:tab w:val="right" w:pos="8838"/>
      </w:tabs>
    </w:pPr>
  </w:style>
  <w:style w:type="character" w:customStyle="1" w:styleId="PiedepginaCar">
    <w:name w:val="Pie de página Car"/>
    <w:basedOn w:val="Fuentedeprrafopredeter"/>
    <w:link w:val="Piedepgina"/>
    <w:uiPriority w:val="99"/>
    <w:rsid w:val="00FF3749"/>
    <w:rPr>
      <w:kern w:val="0"/>
      <w:sz w:val="24"/>
      <w:szCs w:val="24"/>
      <w14:ligatures w14:val="none"/>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FF3749"/>
  </w:style>
  <w:style w:type="character" w:styleId="Hipervnculo">
    <w:name w:val="Hyperlink"/>
    <w:basedOn w:val="Fuentedeprrafopredeter"/>
    <w:uiPriority w:val="99"/>
    <w:unhideWhenUsed/>
    <w:rsid w:val="001D77BC"/>
    <w:rPr>
      <w:color w:val="467886" w:themeColor="hyperlink"/>
      <w:u w:val="single"/>
    </w:rPr>
  </w:style>
  <w:style w:type="character" w:styleId="Mencinsinresolver">
    <w:name w:val="Unresolved Mention"/>
    <w:basedOn w:val="Fuentedeprrafopredeter"/>
    <w:uiPriority w:val="99"/>
    <w:semiHidden/>
    <w:unhideWhenUsed/>
    <w:rsid w:val="001D77BC"/>
    <w:rPr>
      <w:color w:val="605E5C"/>
      <w:shd w:val="clear" w:color="auto" w:fill="E1DFDD"/>
    </w:rPr>
  </w:style>
  <w:style w:type="character" w:styleId="Refdecomentario">
    <w:name w:val="annotation reference"/>
    <w:basedOn w:val="Fuentedeprrafopredeter"/>
    <w:uiPriority w:val="99"/>
    <w:semiHidden/>
    <w:unhideWhenUsed/>
    <w:rsid w:val="00D64B90"/>
    <w:rPr>
      <w:sz w:val="16"/>
      <w:szCs w:val="16"/>
    </w:rPr>
  </w:style>
  <w:style w:type="paragraph" w:styleId="Textocomentario">
    <w:name w:val="annotation text"/>
    <w:basedOn w:val="Normal"/>
    <w:link w:val="TextocomentarioCar"/>
    <w:uiPriority w:val="99"/>
    <w:semiHidden/>
    <w:unhideWhenUsed/>
    <w:rsid w:val="00D64B90"/>
    <w:pPr>
      <w:spacing w:after="160"/>
    </w:pPr>
    <w:rPr>
      <w:rFonts w:ascii="Aptos" w:eastAsia="Aptos" w:hAnsi="Aptos" w:cs="Aptos"/>
      <w:sz w:val="20"/>
      <w:szCs w:val="20"/>
      <w:lang w:eastAsia="es-CO"/>
    </w:rPr>
  </w:style>
  <w:style w:type="character" w:customStyle="1" w:styleId="TextocomentarioCar">
    <w:name w:val="Texto comentario Car"/>
    <w:basedOn w:val="Fuentedeprrafopredeter"/>
    <w:link w:val="Textocomentario"/>
    <w:uiPriority w:val="99"/>
    <w:semiHidden/>
    <w:rsid w:val="00D64B90"/>
    <w:rPr>
      <w:rFonts w:ascii="Aptos" w:eastAsia="Aptos" w:hAnsi="Aptos" w:cs="Aptos"/>
      <w:kern w:val="0"/>
      <w:sz w:val="20"/>
      <w:szCs w:val="20"/>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rchivo.minambiente.gov.co/images/cambioclimatico/pdf/gesti%C3%B3n_del_riesgo_/incorporacion-del-riesgo/Guia_de_estudio_3_cambio_climatico_ordenamiento.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cs.upme.gov.co/DemandayEficiencia/Documents/PEN_2024_2054/PDF5_PE_Infraestructura_Energetica_Publicacion_Tomo_I.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openknowledge.fao.org/bitstreams/6968f8fa-ec0b-4915-aeba-1a233b7eccaa/download"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s://sigueme.upme.gov.co/sigueme/files/mod_documentos/documentos/F-GC-026/F-GC-026.docx?id=1708980175,8913"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9</Pages>
  <Words>3079</Words>
  <Characters>16937</Characters>
  <Application>Microsoft Office Word</Application>
  <DocSecurity>0</DocSecurity>
  <Lines>141</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Arlein Charry</dc:creator>
  <cp:keywords/>
  <dc:description/>
  <cp:lastModifiedBy>angie katherine jimenez carranza</cp:lastModifiedBy>
  <cp:revision>5</cp:revision>
  <dcterms:created xsi:type="dcterms:W3CDTF">2026-05-26T19:05:00Z</dcterms:created>
  <dcterms:modified xsi:type="dcterms:W3CDTF">2026-07-15T11:40:00Z</dcterms:modified>
</cp:coreProperties>
</file>